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jpeg" ContentType="image/jpeg"/>
  <Override PartName="/word/footnotes.xml" ContentType="application/vnd.openxmlformats-officedocument.wordprocessingml.footnot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keepNext w:val="true"/>
        <w:numPr>
          <w:ilvl w:val="0"/>
          <w:numId w:val="0"/>
        </w:numPr>
        <w:spacing w:lineRule="auto" w:line="252"/>
        <w:ind w:hanging="0" w:left="0"/>
        <w:outlineLvl w:val="0"/>
        <w:rPr>
          <w:rFonts w:eastAsia="Calibri"/>
          <w:b w:val="false"/>
          <w:szCs w:val="22"/>
        </w:rPr>
      </w:pPr>
      <w:bookmarkStart w:id="0" w:name="__RefHeading___Toc1060_4110476004"/>
      <w:bookmarkStart w:id="1" w:name="_Toc64291751"/>
      <w:bookmarkEnd w:id="0"/>
      <w:r>
        <w:rPr/>
        <w:drawing>
          <wp:inline distT="0" distB="0" distL="0" distR="0">
            <wp:extent cx="1005840" cy="485775"/>
            <wp:effectExtent l="0" t="0" r="0" b="0"/>
            <wp:docPr id="1"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Paveikslėlis, kuriame yra tekstas, Šriftas, Grafika, logotipas&#10;&#10;Automatiškai sugeneruotas aprašymas"/>
                    <pic:cNvPicPr>
                      <a:picLocks noChangeAspect="1" noChangeArrowheads="1"/>
                    </pic:cNvPicPr>
                  </pic:nvPicPr>
                  <pic:blipFill>
                    <a:blip r:embed="rId2"/>
                    <a:stretch>
                      <a:fillRect/>
                    </a:stretch>
                  </pic:blipFill>
                  <pic:spPr bwMode="auto">
                    <a:xfrm>
                      <a:off x="0" y="0"/>
                      <a:ext cx="1005840" cy="485775"/>
                    </a:xfrm>
                    <a:prstGeom prst="rect">
                      <a:avLst/>
                    </a:prstGeom>
                    <a:noFill/>
                  </pic:spPr>
                </pic:pic>
              </a:graphicData>
            </a:graphic>
          </wp:inline>
        </w:drawing>
      </w:r>
      <w:bookmarkEnd w:id="1"/>
    </w:p>
    <w:p>
      <w:pPr>
        <w:pStyle w:val="Normal"/>
        <w:spacing w:lineRule="auto" w:line="240" w:before="0" w:after="0"/>
        <w:rPr>
          <w:rFonts w:eastAsia="Calibri"/>
          <w:b w:val="false"/>
          <w:szCs w:val="22"/>
        </w:rPr>
      </w:pPr>
      <w:r>
        <w:rPr>
          <w:rFonts w:eastAsia="Calibri"/>
          <w:b w:val="false"/>
          <w:szCs w:val="22"/>
        </w:rPr>
      </w:r>
    </w:p>
    <w:p>
      <w:pPr>
        <w:pStyle w:val="Normal"/>
        <w:spacing w:lineRule="auto" w:line="240" w:before="0" w:after="0"/>
        <w:rPr>
          <w:rFonts w:eastAsia="Calibri"/>
          <w:b w:val="false"/>
          <w:szCs w:val="22"/>
        </w:rPr>
      </w:pPr>
      <w:r>
        <w:rPr>
          <w:rFonts w:eastAsia="Calibri"/>
          <w:b w:val="false"/>
          <w:szCs w:val="22"/>
        </w:rPr>
        <w:tab/>
        <w:tab/>
        <w:tab/>
        <w:tab/>
        <w:tab/>
        <w:tab/>
      </w:r>
    </w:p>
    <w:p>
      <w:pPr>
        <w:pStyle w:val="Normal"/>
        <w:spacing w:lineRule="auto" w:line="240" w:before="0" w:after="0"/>
        <w:rPr>
          <w:rFonts w:eastAsia="Calibri"/>
          <w:b w:val="false"/>
          <w:szCs w:val="22"/>
          <w:lang w:eastAsia="lt-LT"/>
        </w:rPr>
      </w:pPr>
      <w:r>
        <w:rPr>
          <w:rFonts w:eastAsia="Calibri"/>
          <w:b w:val="false"/>
          <w:szCs w:val="22"/>
          <w:lang w:eastAsia="lt-LT"/>
        </w:rPr>
      </w:r>
    </w:p>
    <w:p>
      <w:pPr>
        <w:pStyle w:val="Normal"/>
        <w:spacing w:lineRule="auto" w:line="240" w:before="0" w:after="0"/>
        <w:rPr>
          <w:rFonts w:eastAsia="Calibri"/>
          <w:b w:val="false"/>
          <w:szCs w:val="22"/>
          <w:lang w:eastAsia="lt-LT"/>
        </w:rPr>
      </w:pPr>
      <w:r>
        <w:rPr>
          <w:rFonts w:eastAsia="Calibri"/>
          <w:b w:val="false"/>
          <w:szCs w:val="22"/>
          <w:lang w:eastAsia="lt-LT"/>
        </w:rPr>
      </w:r>
    </w:p>
    <w:p>
      <w:pPr>
        <w:pStyle w:val="Normal"/>
        <w:spacing w:lineRule="auto" w:line="240" w:before="0" w:after="0"/>
        <w:rPr>
          <w:rFonts w:eastAsia="Calibri"/>
          <w:b w:val="false"/>
          <w:szCs w:val="22"/>
          <w:lang w:eastAsia="lt-LT"/>
        </w:rPr>
      </w:pPr>
      <w:r>
        <w:rPr>
          <w:rFonts w:eastAsia="Calibri"/>
          <w:b w:val="false"/>
          <w:szCs w:val="22"/>
          <w:lang w:eastAsia="lt-LT"/>
        </w:rPr>
      </w:r>
    </w:p>
    <w:p>
      <w:pPr>
        <w:pStyle w:val="Normal"/>
        <w:spacing w:lineRule="auto" w:line="240" w:before="0" w:after="0"/>
        <w:jc w:val="center"/>
        <w:rPr>
          <w:rFonts w:ascii="Arial" w:hAnsi="Arial"/>
          <w:sz w:val="22"/>
          <w:szCs w:val="22"/>
        </w:rPr>
      </w:pPr>
      <w:r>
        <w:rPr>
          <w:rFonts w:eastAsia="Calibri"/>
          <w:sz w:val="22"/>
          <w:szCs w:val="22"/>
        </w:rPr>
        <w:t>VALSTYBĖS ĮMONĖ</w:t>
      </w:r>
    </w:p>
    <w:p>
      <w:pPr>
        <w:pStyle w:val="Normal"/>
        <w:spacing w:lineRule="auto" w:line="240" w:before="0" w:after="0"/>
        <w:jc w:val="center"/>
        <w:rPr>
          <w:rFonts w:ascii="Arial" w:hAnsi="Arial"/>
          <w:sz w:val="22"/>
          <w:szCs w:val="22"/>
        </w:rPr>
      </w:pPr>
      <w:r>
        <w:rPr>
          <w:rFonts w:eastAsia="Calibri"/>
          <w:sz w:val="22"/>
          <w:szCs w:val="22"/>
        </w:rPr>
        <w:t>VALSTYBINIŲ MIŠKŲ URĖDIJA</w:t>
      </w:r>
    </w:p>
    <w:p>
      <w:pPr>
        <w:pStyle w:val="Normal"/>
        <w:spacing w:lineRule="auto" w:line="240" w:before="0" w:after="0"/>
        <w:ind w:left="5670"/>
        <w:rPr>
          <w:rFonts w:ascii="Arial" w:hAnsi="Arial" w:eastAsia="Calibri"/>
          <w:b w:val="false"/>
          <w:i/>
          <w:i/>
          <w:sz w:val="22"/>
          <w:szCs w:val="22"/>
        </w:rPr>
      </w:pPr>
      <w:r>
        <w:rPr>
          <w:rFonts w:eastAsia="Calibri"/>
          <w:b w:val="false"/>
          <w:i/>
          <w:sz w:val="22"/>
          <w:szCs w:val="22"/>
        </w:rPr>
      </w:r>
    </w:p>
    <w:p>
      <w:pPr>
        <w:pStyle w:val="Normal"/>
        <w:spacing w:lineRule="auto" w:line="240" w:before="0" w:after="0"/>
        <w:ind w:left="5670"/>
        <w:rPr>
          <w:rFonts w:ascii="Arial" w:hAnsi="Arial" w:eastAsia="Calibri"/>
          <w:b w:val="false"/>
          <w:i/>
          <w:i/>
          <w:sz w:val="22"/>
          <w:szCs w:val="22"/>
        </w:rPr>
      </w:pPr>
      <w:r>
        <w:rPr>
          <w:rFonts w:eastAsia="Calibri"/>
          <w:b w:val="false"/>
          <w:i/>
          <w:sz w:val="22"/>
          <w:szCs w:val="22"/>
        </w:rPr>
      </w:r>
    </w:p>
    <w:p>
      <w:pPr>
        <w:pStyle w:val="Normal"/>
        <w:spacing w:lineRule="auto" w:line="240" w:before="0" w:after="0"/>
        <w:ind w:left="5670"/>
        <w:rPr>
          <w:rFonts w:ascii="Arial" w:hAnsi="Arial" w:eastAsia="Calibri"/>
          <w:b w:val="false"/>
          <w:i/>
          <w:i/>
          <w:sz w:val="22"/>
          <w:szCs w:val="22"/>
        </w:rPr>
      </w:pPr>
      <w:r>
        <w:rPr>
          <w:rFonts w:eastAsia="Calibri"/>
          <w:b w:val="false"/>
          <w:i/>
          <w:sz w:val="22"/>
          <w:szCs w:val="22"/>
        </w:rPr>
      </w:r>
    </w:p>
    <w:p>
      <w:pPr>
        <w:pStyle w:val="Normal"/>
        <w:tabs>
          <w:tab w:val="clear" w:pos="1296"/>
          <w:tab w:val="right" w:pos="8505" w:leader="underscore"/>
        </w:tabs>
        <w:spacing w:lineRule="auto" w:line="240" w:before="0" w:after="0"/>
        <w:jc w:val="center"/>
        <w:rPr>
          <w:rFonts w:ascii="Arial" w:hAnsi="Arial" w:eastAsia="Calibri"/>
          <w:b w:val="false"/>
          <w:i/>
          <w:i/>
          <w:sz w:val="22"/>
          <w:szCs w:val="22"/>
        </w:rPr>
      </w:pPr>
      <w:r>
        <w:rPr>
          <w:rFonts w:eastAsia="Calibri"/>
          <w:b w:val="false"/>
          <w:i/>
          <w:sz w:val="22"/>
          <w:szCs w:val="22"/>
        </w:rPr>
      </w:r>
    </w:p>
    <w:p>
      <w:pPr>
        <w:pStyle w:val="Normal"/>
        <w:tabs>
          <w:tab w:val="clear" w:pos="1296"/>
          <w:tab w:val="right" w:pos="8505" w:leader="underscore"/>
        </w:tabs>
        <w:spacing w:lineRule="auto" w:line="240" w:before="0" w:after="0"/>
        <w:jc w:val="center"/>
        <w:rPr>
          <w:rFonts w:ascii="Arial" w:hAnsi="Arial" w:eastAsia="Calibri"/>
          <w:b w:val="false"/>
          <w:i/>
          <w:i/>
          <w:sz w:val="22"/>
          <w:szCs w:val="22"/>
        </w:rPr>
      </w:pPr>
      <w:r>
        <w:rPr>
          <w:rFonts w:eastAsia="Calibri"/>
          <w:b w:val="false"/>
          <w:i/>
          <w:sz w:val="22"/>
          <w:szCs w:val="22"/>
        </w:rPr>
      </w:r>
    </w:p>
    <w:p>
      <w:pPr>
        <w:pStyle w:val="Normal"/>
        <w:tabs>
          <w:tab w:val="clear" w:pos="1296"/>
          <w:tab w:val="right" w:pos="8505" w:leader="underscore"/>
        </w:tabs>
        <w:spacing w:lineRule="auto" w:line="240" w:before="0" w:after="0"/>
        <w:jc w:val="center"/>
        <w:rPr>
          <w:rFonts w:ascii="Arial" w:hAnsi="Arial" w:eastAsia="Calibri"/>
          <w:b w:val="false"/>
          <w:i/>
          <w:i/>
          <w:sz w:val="22"/>
          <w:szCs w:val="22"/>
        </w:rPr>
      </w:pPr>
      <w:r>
        <w:rPr>
          <w:rFonts w:eastAsia="Calibri"/>
          <w:b w:val="false"/>
          <w:i/>
          <w:sz w:val="22"/>
          <w:szCs w:val="22"/>
        </w:rPr>
      </w:r>
    </w:p>
    <w:p>
      <w:pPr>
        <w:pStyle w:val="Normal"/>
        <w:tabs>
          <w:tab w:val="clear" w:pos="1296"/>
          <w:tab w:val="right" w:pos="8505" w:leader="underscore"/>
        </w:tabs>
        <w:spacing w:lineRule="auto" w:line="240" w:before="0" w:after="0"/>
        <w:jc w:val="center"/>
        <w:rPr>
          <w:rFonts w:ascii="Arial" w:hAnsi="Arial" w:eastAsia="Calibri"/>
          <w:b w:val="false"/>
          <w:i/>
          <w:i/>
          <w:sz w:val="22"/>
          <w:szCs w:val="22"/>
        </w:rPr>
      </w:pPr>
      <w:r>
        <w:rPr>
          <w:rFonts w:eastAsia="Calibri"/>
          <w:b w:val="false"/>
          <w:i/>
          <w:sz w:val="22"/>
          <w:szCs w:val="22"/>
        </w:rPr>
      </w:r>
    </w:p>
    <w:p>
      <w:pPr>
        <w:pStyle w:val="Normal"/>
        <w:tabs>
          <w:tab w:val="clear" w:pos="1296"/>
          <w:tab w:val="right" w:pos="8505" w:leader="underscore"/>
        </w:tabs>
        <w:spacing w:lineRule="auto" w:line="240" w:before="0" w:after="0"/>
        <w:jc w:val="center"/>
        <w:rPr>
          <w:rFonts w:ascii="Arial" w:hAnsi="Arial" w:eastAsia="Calibri"/>
          <w:b w:val="false"/>
          <w:i/>
          <w:i/>
          <w:sz w:val="22"/>
          <w:szCs w:val="22"/>
        </w:rPr>
      </w:pPr>
      <w:r>
        <w:rPr>
          <w:rFonts w:eastAsia="Calibri"/>
          <w:b w:val="false"/>
          <w:i/>
          <w:sz w:val="22"/>
          <w:szCs w:val="22"/>
        </w:rPr>
      </w:r>
    </w:p>
    <w:p>
      <w:pPr>
        <w:pStyle w:val="Normal"/>
        <w:tabs>
          <w:tab w:val="clear" w:pos="1296"/>
          <w:tab w:val="right" w:pos="8505" w:leader="underscore"/>
        </w:tabs>
        <w:spacing w:lineRule="auto" w:line="240" w:before="0" w:after="0"/>
        <w:jc w:val="center"/>
        <w:rPr>
          <w:rFonts w:ascii="Arial" w:hAnsi="Arial" w:eastAsia="Calibri"/>
          <w:b w:val="false"/>
          <w:i/>
          <w:i/>
          <w:sz w:val="22"/>
          <w:szCs w:val="22"/>
        </w:rPr>
      </w:pPr>
      <w:r>
        <w:rPr>
          <w:rFonts w:eastAsia="Calibri"/>
          <w:b w:val="false"/>
          <w:i/>
          <w:sz w:val="22"/>
          <w:szCs w:val="22"/>
        </w:rPr>
      </w:r>
    </w:p>
    <w:p>
      <w:pPr>
        <w:pStyle w:val="Normal"/>
        <w:tabs>
          <w:tab w:val="clear" w:pos="1296"/>
          <w:tab w:val="right" w:pos="8505" w:leader="underscore"/>
        </w:tabs>
        <w:spacing w:lineRule="auto" w:line="240" w:before="0" w:after="0"/>
        <w:jc w:val="center"/>
        <w:rPr>
          <w:rFonts w:ascii="Arial" w:hAnsi="Arial" w:eastAsia="Calibri"/>
          <w:b w:val="false"/>
          <w:i/>
          <w:i/>
          <w:sz w:val="22"/>
          <w:szCs w:val="22"/>
        </w:rPr>
      </w:pPr>
      <w:r>
        <w:rPr>
          <w:rFonts w:eastAsia="Calibri"/>
          <w:b w:val="false"/>
          <w:i/>
          <w:sz w:val="22"/>
          <w:szCs w:val="22"/>
        </w:rPr>
      </w:r>
    </w:p>
    <w:p>
      <w:pPr>
        <w:pStyle w:val="Normal"/>
        <w:tabs>
          <w:tab w:val="clear" w:pos="1296"/>
          <w:tab w:val="right" w:pos="8505" w:leader="underscore"/>
        </w:tabs>
        <w:spacing w:lineRule="auto" w:line="240" w:before="0" w:after="0"/>
        <w:jc w:val="center"/>
        <w:rPr>
          <w:rFonts w:ascii="Arial" w:hAnsi="Arial" w:eastAsia="Calibri"/>
          <w:b w:val="false"/>
          <w:i/>
          <w:i/>
          <w:sz w:val="22"/>
          <w:szCs w:val="22"/>
        </w:rPr>
      </w:pPr>
      <w:r>
        <w:rPr>
          <w:rFonts w:eastAsia="Calibri"/>
          <w:b w:val="false"/>
          <w:i/>
          <w:sz w:val="22"/>
          <w:szCs w:val="22"/>
        </w:rPr>
      </w:r>
    </w:p>
    <w:p>
      <w:pPr>
        <w:pStyle w:val="Normal"/>
        <w:tabs>
          <w:tab w:val="clear" w:pos="1296"/>
          <w:tab w:val="right" w:pos="8505" w:leader="underscore"/>
        </w:tabs>
        <w:spacing w:lineRule="auto" w:line="240" w:before="0" w:after="0"/>
        <w:jc w:val="center"/>
        <w:rPr>
          <w:rFonts w:ascii="Arial" w:hAnsi="Arial" w:eastAsia="Calibri"/>
          <w:b w:val="false"/>
          <w:i/>
          <w:i/>
          <w:sz w:val="22"/>
          <w:szCs w:val="22"/>
        </w:rPr>
      </w:pPr>
      <w:r>
        <w:rPr>
          <w:rFonts w:eastAsia="Calibri"/>
          <w:b w:val="false"/>
          <w:i/>
          <w:sz w:val="22"/>
          <w:szCs w:val="22"/>
        </w:rPr>
      </w:r>
    </w:p>
    <w:p>
      <w:pPr>
        <w:pStyle w:val="Normal"/>
        <w:tabs>
          <w:tab w:val="clear" w:pos="1296"/>
          <w:tab w:val="right" w:pos="8505" w:leader="underscore"/>
        </w:tabs>
        <w:spacing w:lineRule="auto" w:line="240" w:before="0" w:after="0"/>
        <w:jc w:val="center"/>
        <w:rPr>
          <w:rFonts w:ascii="Arial" w:hAnsi="Arial" w:eastAsia="Calibri"/>
          <w:b w:val="false"/>
          <w:i/>
          <w:i/>
          <w:sz w:val="22"/>
          <w:szCs w:val="22"/>
        </w:rPr>
      </w:pPr>
      <w:r>
        <w:rPr>
          <w:rFonts w:eastAsia="Calibri"/>
          <w:b w:val="false"/>
          <w:i/>
          <w:sz w:val="22"/>
          <w:szCs w:val="22"/>
        </w:rPr>
      </w:r>
    </w:p>
    <w:p>
      <w:pPr>
        <w:pStyle w:val="Normal"/>
        <w:spacing w:lineRule="auto" w:line="240" w:before="0" w:after="0"/>
        <w:jc w:val="center"/>
        <w:rPr>
          <w:rFonts w:ascii="Arial" w:hAnsi="Arial"/>
          <w:sz w:val="22"/>
          <w:szCs w:val="22"/>
        </w:rPr>
      </w:pPr>
      <w:r>
        <w:rPr>
          <w:rFonts w:eastAsia="Calibri"/>
          <w:sz w:val="22"/>
          <w:szCs w:val="22"/>
        </w:rPr>
        <w:t>SKELBIAMOS APKLAUSOS (SU DERYBOMIS) NR. PU-355/2026 SPECIALIOSIOS SĄLYGOS</w:t>
      </w:r>
    </w:p>
    <w:p>
      <w:pPr>
        <w:pStyle w:val="Normal"/>
        <w:spacing w:lineRule="auto" w:line="240" w:before="0" w:after="0"/>
        <w:jc w:val="center"/>
        <w:rPr>
          <w:rFonts w:ascii="Arial" w:hAnsi="Arial" w:eastAsia="Calibri"/>
          <w:sz w:val="22"/>
          <w:szCs w:val="22"/>
        </w:rPr>
      </w:pPr>
      <w:r>
        <w:rPr>
          <w:rFonts w:eastAsia="Calibri"/>
          <w:sz w:val="22"/>
          <w:szCs w:val="22"/>
        </w:rPr>
      </w:r>
    </w:p>
    <w:p>
      <w:pPr>
        <w:pStyle w:val="Normal"/>
        <w:spacing w:lineRule="auto" w:line="240" w:before="0" w:after="0"/>
        <w:jc w:val="center"/>
        <w:rPr>
          <w:rFonts w:ascii="Arial" w:hAnsi="Arial"/>
          <w:sz w:val="22"/>
          <w:szCs w:val="22"/>
        </w:rPr>
      </w:pPr>
      <w:r>
        <w:rPr>
          <w:rFonts w:eastAsia="Calibri"/>
          <w:sz w:val="22"/>
          <w:szCs w:val="22"/>
        </w:rPr>
        <w:t>Mažos vertės pirkimas</w:t>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sz w:val="22"/>
          <w:szCs w:val="22"/>
        </w:rPr>
      </w:pPr>
      <w:r>
        <w:rPr>
          <w:rFonts w:eastAsia="Calibri"/>
          <w:b w:val="false"/>
          <w:sz w:val="22"/>
          <w:szCs w:val="22"/>
        </w:rPr>
        <w:t>Civilinės atsakomybės draudimo paslaugos</w:t>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eastAsia="Calibri"/>
          <w:b w:val="false"/>
          <w:sz w:val="22"/>
          <w:szCs w:val="22"/>
        </w:rPr>
      </w:pPr>
      <w:r>
        <w:rPr>
          <w:rFonts w:eastAsia="Calibri"/>
          <w:b w:val="false"/>
          <w:sz w:val="22"/>
          <w:szCs w:val="22"/>
        </w:rPr>
      </w:r>
    </w:p>
    <w:p>
      <w:pPr>
        <w:pStyle w:val="Normal"/>
        <w:spacing w:lineRule="auto" w:line="240" w:before="0" w:after="0"/>
        <w:jc w:val="center"/>
        <w:rPr>
          <w:rFonts w:ascii="Arial" w:hAnsi="Arial"/>
          <w:sz w:val="22"/>
          <w:szCs w:val="22"/>
        </w:rPr>
      </w:pPr>
      <w:r>
        <w:rPr>
          <w:rFonts w:eastAsia="Calibri"/>
          <w:b w:val="false"/>
          <w:sz w:val="22"/>
          <w:szCs w:val="22"/>
        </w:rPr>
        <w:t>Vilnius, 2026</w:t>
      </w:r>
    </w:p>
    <w:p>
      <w:pPr>
        <w:pStyle w:val="Normal"/>
        <w:spacing w:lineRule="auto" w:line="240" w:before="0" w:after="0"/>
        <w:jc w:val="center"/>
        <w:rPr>
          <w:rFonts w:ascii="Arial" w:hAnsi="Arial"/>
          <w:sz w:val="22"/>
          <w:szCs w:val="22"/>
        </w:rPr>
      </w:pPr>
      <w:r>
        <w:rPr>
          <w:rFonts w:eastAsia="Calibri"/>
          <w:sz w:val="22"/>
          <w:szCs w:val="22"/>
        </w:rPr>
        <w:t>TURINYS</w:t>
      </w:r>
    </w:p>
    <w:p>
      <w:pPr>
        <w:pStyle w:val="Normal"/>
        <w:tabs>
          <w:tab w:val="clear" w:pos="1296"/>
          <w:tab w:val="left" w:pos="709" w:leader="none"/>
        </w:tabs>
        <w:spacing w:lineRule="auto" w:line="240" w:before="0" w:after="0"/>
        <w:jc w:val="center"/>
        <w:rPr>
          <w:rFonts w:ascii="Arial" w:hAnsi="Arial" w:eastAsia="Calibri"/>
          <w:bCs/>
          <w:sz w:val="22"/>
          <w:szCs w:val="22"/>
        </w:rPr>
      </w:pPr>
      <w:r>
        <w:rPr>
          <w:rFonts w:eastAsia="Calibri"/>
          <w:bCs/>
          <w:sz w:val="22"/>
          <w:szCs w:val="22"/>
        </w:rPr>
      </w:r>
    </w:p>
    <w:sdt>
      <w:sdtPr>
        <w:docPartObj>
          <w:docPartGallery w:val="Table of Contents"/>
          <w:docPartUnique w:val="true"/>
        </w:docPartObj>
      </w:sdtPr>
      <w:sdtContent>
        <w:p>
          <w:pPr>
            <w:pStyle w:val="TOC1"/>
            <w:tabs>
              <w:tab w:val="clear" w:pos="440"/>
              <w:tab w:val="clear" w:pos="9628"/>
              <w:tab w:val="right" w:pos="9638" w:leader="dot"/>
            </w:tabs>
            <w:rPr/>
          </w:pPr>
          <w:r>
            <w:fldChar w:fldCharType="begin"/>
          </w:r>
          <w:r>
            <w:rPr>
              <w:webHidden/>
              <w:rStyle w:val="Rodyklssaitas"/>
              <w:vanish w:val="false"/>
            </w:rPr>
            <w:instrText xml:space="preserve"> TOC \z \o "1-3" \u \h</w:instrText>
          </w:r>
          <w:r>
            <w:rPr>
              <w:webHidden/>
              <w:rStyle w:val="Rodyklssaitas"/>
              <w:vanish w:val="false"/>
            </w:rPr>
            <w:fldChar w:fldCharType="separate"/>
          </w:r>
          <w:hyperlink w:anchor="__RefHeading___Toc1060_4110476004">
            <w:r>
              <w:rPr>
                <w:webHidden/>
                <w:rStyle w:val="Rodyklssaitas"/>
                <w:vanish w:val="false"/>
              </w:rPr>
              <w:tab/>
            </w:r>
            <w:r>
              <w:rPr>
                <w:rStyle w:val="Rodyklssaitas"/>
                <w:vanish w:val="false"/>
              </w:rPr>
              <w:t>1</w:t>
            </w:r>
          </w:hyperlink>
        </w:p>
        <w:p>
          <w:pPr>
            <w:pStyle w:val="TOC1"/>
            <w:tabs>
              <w:tab w:val="clear" w:pos="440"/>
              <w:tab w:val="clear" w:pos="9628"/>
              <w:tab w:val="right" w:pos="9638" w:leader="dot"/>
            </w:tabs>
            <w:rPr/>
          </w:pPr>
          <w:hyperlink w:anchor="__RefHeading___Toc1062_4110476004">
            <w:r>
              <w:rPr>
                <w:webHidden/>
                <w:rStyle w:val="Rodyklssaitas"/>
                <w:vanish w:val="false"/>
              </w:rPr>
              <w:t>1. BENDROSIOS NUOSTATOS</w:t>
              <w:tab/>
              <w:t>3</w:t>
            </w:r>
          </w:hyperlink>
        </w:p>
        <w:p>
          <w:pPr>
            <w:pStyle w:val="TOC1"/>
            <w:tabs>
              <w:tab w:val="clear" w:pos="440"/>
              <w:tab w:val="clear" w:pos="9628"/>
              <w:tab w:val="right" w:pos="9638" w:leader="dot"/>
            </w:tabs>
            <w:rPr/>
          </w:pPr>
          <w:hyperlink w:anchor="__RefHeading___Toc1064_4110476004">
            <w:r>
              <w:rPr>
                <w:webHidden/>
                <w:rStyle w:val="Rodyklssaitas"/>
                <w:vanish w:val="false"/>
              </w:rPr>
              <w:t>2. PASIŪLYMŲ PATEIKIMO, SUSIPAŽINIMO SU PASIŪLYMAIS TERMINAI</w:t>
              <w:tab/>
              <w:t>3</w:t>
            </w:r>
          </w:hyperlink>
        </w:p>
        <w:p>
          <w:pPr>
            <w:pStyle w:val="TOC1"/>
            <w:tabs>
              <w:tab w:val="clear" w:pos="440"/>
              <w:tab w:val="clear" w:pos="9628"/>
              <w:tab w:val="right" w:pos="9638" w:leader="dot"/>
            </w:tabs>
            <w:rPr/>
          </w:pPr>
          <w:hyperlink w:anchor="__RefHeading___Toc1066_4110476004">
            <w:r>
              <w:rPr>
                <w:webHidden/>
                <w:rStyle w:val="Rodyklssaitas"/>
                <w:vanish w:val="false"/>
              </w:rPr>
              <w:t>3. PIRKIMO DOKUMENTŲ PAAIŠKINIMAS IR PATIKSLINIMAS</w:t>
              <w:tab/>
              <w:t>3</w:t>
            </w:r>
          </w:hyperlink>
        </w:p>
        <w:p>
          <w:pPr>
            <w:pStyle w:val="TOC1"/>
            <w:tabs>
              <w:tab w:val="clear" w:pos="440"/>
              <w:tab w:val="clear" w:pos="9628"/>
              <w:tab w:val="right" w:pos="9638" w:leader="dot"/>
            </w:tabs>
            <w:rPr/>
          </w:pPr>
          <w:hyperlink w:anchor="__RefHeading___Toc1068_4110476004">
            <w:r>
              <w:rPr>
                <w:webHidden/>
                <w:rStyle w:val="Rodyklssaitas"/>
                <w:vanish w:val="false"/>
              </w:rPr>
              <w:t>4. REIKALAVIMAI PAŠALINIMO PAGRINDŲ NEBUVIMUI IR TIEKĖJŲ KVALIFIKACIJAI</w:t>
              <w:tab/>
              <w:t>3</w:t>
            </w:r>
          </w:hyperlink>
        </w:p>
        <w:p>
          <w:pPr>
            <w:pStyle w:val="TOC1"/>
            <w:tabs>
              <w:tab w:val="clear" w:pos="440"/>
              <w:tab w:val="clear" w:pos="9628"/>
              <w:tab w:val="right" w:pos="9638" w:leader="dot"/>
            </w:tabs>
            <w:rPr/>
          </w:pPr>
          <w:hyperlink w:anchor="__RefHeading___Toc1070_4110476004">
            <w:r>
              <w:rPr>
                <w:webHidden/>
                <w:rStyle w:val="Rodyklssaitas"/>
                <w:vanish w:val="false"/>
              </w:rPr>
              <w:t>5. PIRKIMO OBJEKTAS</w:t>
              <w:tab/>
              <w:t>3</w:t>
            </w:r>
          </w:hyperlink>
        </w:p>
        <w:p>
          <w:pPr>
            <w:pStyle w:val="TOC1"/>
            <w:tabs>
              <w:tab w:val="clear" w:pos="440"/>
              <w:tab w:val="clear" w:pos="9628"/>
              <w:tab w:val="right" w:pos="9638" w:leader="dot"/>
            </w:tabs>
            <w:rPr/>
          </w:pPr>
          <w:hyperlink w:anchor="__RefHeading___Toc1072_4110476004">
            <w:r>
              <w:rPr>
                <w:webHidden/>
                <w:rStyle w:val="Rodyklssaitas"/>
                <w:vanish w:val="false"/>
              </w:rPr>
              <w:t>6. REIKALAVIMAI PASIŪLYMŲ RENGIMUI IR PATEIKIMUI</w:t>
              <w:tab/>
              <w:t>3</w:t>
            </w:r>
          </w:hyperlink>
        </w:p>
        <w:p>
          <w:pPr>
            <w:pStyle w:val="TOC1"/>
            <w:tabs>
              <w:tab w:val="clear" w:pos="440"/>
              <w:tab w:val="clear" w:pos="9628"/>
              <w:tab w:val="right" w:pos="9638" w:leader="dot"/>
            </w:tabs>
            <w:rPr/>
          </w:pPr>
          <w:hyperlink w:anchor="__RefHeading___Toc1074_4110476004">
            <w:r>
              <w:rPr>
                <w:webHidden/>
                <w:rStyle w:val="Rodyklssaitas"/>
                <w:vanish w:val="false"/>
              </w:rPr>
              <w:t>7. PASIŪLYMŲ GALIOJIMAS IR PASIŪLYMŲ GALIOJIMO UŽTIKRINIMAS</w:t>
              <w:tab/>
              <w:t>4</w:t>
            </w:r>
          </w:hyperlink>
        </w:p>
        <w:p>
          <w:pPr>
            <w:pStyle w:val="TOC1"/>
            <w:tabs>
              <w:tab w:val="clear" w:pos="440"/>
              <w:tab w:val="clear" w:pos="9628"/>
              <w:tab w:val="right" w:pos="9638" w:leader="dot"/>
            </w:tabs>
            <w:rPr/>
          </w:pPr>
          <w:hyperlink w:anchor="__RefHeading___Toc1076_4110476004">
            <w:r>
              <w:rPr>
                <w:webHidden/>
                <w:rStyle w:val="Rodyklssaitas"/>
                <w:vanish w:val="false"/>
              </w:rPr>
              <w:t>8. PASIŪLYMĄ SUDARANTYS DOKUMENTAI</w:t>
              <w:tab/>
              <w:t>4</w:t>
            </w:r>
          </w:hyperlink>
        </w:p>
        <w:p>
          <w:pPr>
            <w:pStyle w:val="TOC1"/>
            <w:tabs>
              <w:tab w:val="clear" w:pos="440"/>
              <w:tab w:val="clear" w:pos="9628"/>
              <w:tab w:val="right" w:pos="9638" w:leader="dot"/>
            </w:tabs>
            <w:rPr/>
          </w:pPr>
          <w:hyperlink w:anchor="__RefHeading___Toc1078_4110476004">
            <w:r>
              <w:rPr>
                <w:webHidden/>
                <w:rStyle w:val="Rodyklssaitas"/>
                <w:vanish w:val="false"/>
              </w:rPr>
              <w:t>9. PASIŪLYMŲ VERTINIMAS IR PALYGINIMAS</w:t>
              <w:tab/>
              <w:t>4</w:t>
            </w:r>
          </w:hyperlink>
        </w:p>
        <w:p>
          <w:pPr>
            <w:pStyle w:val="TOC1"/>
            <w:tabs>
              <w:tab w:val="clear" w:pos="440"/>
              <w:tab w:val="clear" w:pos="9628"/>
              <w:tab w:val="right" w:pos="9638" w:leader="dot"/>
            </w:tabs>
            <w:rPr/>
          </w:pPr>
          <w:hyperlink w:anchor="__RefHeading___Toc1080_4110476004">
            <w:r>
              <w:rPr>
                <w:webHidden/>
                <w:rStyle w:val="Rodyklssaitas"/>
                <w:vanish w:val="false"/>
              </w:rPr>
              <w:t>10. SUTARTIES NUOSTATOS</w:t>
              <w:tab/>
              <w:t>5</w:t>
            </w:r>
          </w:hyperlink>
        </w:p>
        <w:p>
          <w:pPr>
            <w:pStyle w:val="TOC1"/>
            <w:tabs>
              <w:tab w:val="clear" w:pos="440"/>
              <w:tab w:val="clear" w:pos="9628"/>
              <w:tab w:val="right" w:pos="9638" w:leader="dot"/>
            </w:tabs>
            <w:rPr/>
          </w:pPr>
          <w:hyperlink w:anchor="__RefHeading___Toc1082_4110476004">
            <w:r>
              <w:rPr>
                <w:webHidden/>
                <w:rStyle w:val="Rodyklssaitas"/>
                <w:vanish w:val="false"/>
              </w:rPr>
              <w:t>11. REIKALAVIMAI, SUSIJĘ SU NACIONALINIU SAUGUMU</w:t>
              <w:tab/>
              <w:t>5</w:t>
            </w:r>
          </w:hyperlink>
        </w:p>
        <w:p>
          <w:pPr>
            <w:pStyle w:val="TOC1"/>
            <w:tabs>
              <w:tab w:val="clear" w:pos="440"/>
              <w:tab w:val="clear" w:pos="9628"/>
              <w:tab w:val="right" w:pos="9638" w:leader="dot"/>
            </w:tabs>
            <w:rPr/>
          </w:pPr>
          <w:hyperlink w:anchor="__RefHeading___Toc1084_4110476004">
            <w:r>
              <w:rPr>
                <w:webHidden/>
                <w:rStyle w:val="Rodyklssaitas"/>
                <w:vanish w:val="false"/>
              </w:rPr>
              <w:t>12. PRIEDAI</w:t>
              <w:tab/>
              <w:t>5</w:t>
            </w:r>
          </w:hyperlink>
          <w:r>
            <w:rPr>
              <w:rStyle w:val="Rodyklssaitas"/>
              <w:vanish w:val="false"/>
            </w:rPr>
            <w:fldChar w:fldCharType="end"/>
          </w:r>
        </w:p>
      </w:sdtContent>
    </w:sdt>
    <w:p>
      <w:pPr>
        <w:pStyle w:val="Normal"/>
        <w:spacing w:lineRule="auto" w:line="252"/>
        <w:rPr>
          <w:rFonts w:ascii="Arial" w:hAnsi="Arial" w:eastAsia="Calibri"/>
          <w:b w:val="false"/>
          <w:sz w:val="22"/>
          <w:szCs w:val="22"/>
        </w:rPr>
      </w:pPr>
      <w:r>
        <w:rPr>
          <w:rFonts w:eastAsia="Calibri"/>
          <w:b w:val="false"/>
          <w:sz w:val="22"/>
          <w:szCs w:val="22"/>
        </w:rPr>
      </w:r>
    </w:p>
    <w:p>
      <w:pPr>
        <w:pStyle w:val="Normal"/>
        <w:tabs>
          <w:tab w:val="clear" w:pos="1296"/>
          <w:tab w:val="left" w:pos="709" w:leader="none"/>
        </w:tabs>
        <w:spacing w:lineRule="auto" w:line="240" w:before="0" w:after="0"/>
        <w:jc w:val="center"/>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jc w:val="center"/>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jc w:val="center"/>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jc w:val="center"/>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jc w:val="center"/>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jc w:val="center"/>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jc w:val="center"/>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jc w:val="center"/>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jc w:val="center"/>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jc w:val="center"/>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jc w:val="center"/>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jc w:val="center"/>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jc w:val="center"/>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jc w:val="center"/>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jc w:val="center"/>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jc w:val="center"/>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jc w:val="center"/>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jc w:val="center"/>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jc w:val="center"/>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jc w:val="center"/>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jc w:val="center"/>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rPr>
          <w:rFonts w:ascii="Arial" w:hAnsi="Arial" w:eastAsia="Calibri"/>
          <w:bCs/>
          <w:sz w:val="22"/>
          <w:szCs w:val="22"/>
        </w:rPr>
      </w:pPr>
      <w:r>
        <w:rPr>
          <w:rFonts w:eastAsia="Calibri"/>
          <w:bCs/>
          <w:sz w:val="22"/>
          <w:szCs w:val="22"/>
        </w:rPr>
      </w:r>
    </w:p>
    <w:p>
      <w:pPr>
        <w:pStyle w:val="Normal"/>
        <w:tabs>
          <w:tab w:val="clear" w:pos="1296"/>
          <w:tab w:val="left" w:pos="709" w:leader="none"/>
        </w:tabs>
        <w:spacing w:lineRule="auto" w:line="240" w:before="0" w:after="0"/>
        <w:rPr>
          <w:rFonts w:ascii="Arial" w:hAnsi="Arial" w:eastAsia="Calibri"/>
          <w:bCs/>
          <w:sz w:val="22"/>
          <w:szCs w:val="22"/>
        </w:rPr>
      </w:pPr>
      <w:r>
        <w:rPr>
          <w:rFonts w:eastAsia="Calibri"/>
          <w:bCs/>
          <w:sz w:val="22"/>
          <w:szCs w:val="22"/>
        </w:rPr>
      </w:r>
    </w:p>
    <w:p>
      <w:pPr>
        <w:pStyle w:val="Normal"/>
        <w:keepNext w:val="true"/>
        <w:numPr>
          <w:ilvl w:val="0"/>
          <w:numId w:val="1"/>
        </w:numPr>
        <w:tabs>
          <w:tab w:val="clear" w:pos="1296"/>
          <w:tab w:val="left" w:pos="426" w:leader="none"/>
        </w:tabs>
        <w:spacing w:lineRule="auto" w:line="240" w:before="0" w:after="0"/>
        <w:ind w:hanging="0" w:left="0"/>
        <w:jc w:val="center"/>
        <w:outlineLvl w:val="0"/>
        <w:rPr/>
      </w:pPr>
      <w:bookmarkStart w:id="2" w:name="__RefHeading___Toc1062_4110476004"/>
      <w:bookmarkStart w:id="3" w:name="_Toc335201954"/>
      <w:bookmarkStart w:id="4" w:name="_Toc64291752"/>
      <w:bookmarkEnd w:id="2"/>
      <w:r>
        <w:rPr>
          <w:rFonts w:eastAsia="Calibri"/>
          <w:bCs/>
          <w:sz w:val="22"/>
          <w:szCs w:val="22"/>
        </w:rPr>
        <w:t>BENDROSIOS NUOSTATOS</w:t>
      </w:r>
      <w:bookmarkEnd w:id="3"/>
      <w:bookmarkEnd w:id="4"/>
    </w:p>
    <w:p>
      <w:pPr>
        <w:pStyle w:val="Normal"/>
        <w:tabs>
          <w:tab w:val="clear" w:pos="1296"/>
          <w:tab w:val="left" w:pos="709" w:leader="none"/>
        </w:tabs>
        <w:spacing w:lineRule="auto" w:line="240" w:before="0" w:after="0"/>
        <w:contextualSpacing/>
        <w:jc w:val="both"/>
        <w:rPr>
          <w:rFonts w:ascii="Arial" w:hAnsi="Arial" w:eastAsia="Calibri"/>
          <w:b w:val="false"/>
          <w:sz w:val="22"/>
          <w:szCs w:val="22"/>
        </w:rPr>
      </w:pPr>
      <w:r>
        <w:rPr>
          <w:rFonts w:eastAsia="Calibri"/>
          <w:b w:val="false"/>
          <w:sz w:val="22"/>
          <w:szCs w:val="22"/>
        </w:rPr>
      </w:r>
    </w:p>
    <w:p>
      <w:pPr>
        <w:pStyle w:val="Normal"/>
        <w:tabs>
          <w:tab w:val="clear" w:pos="1296"/>
          <w:tab w:val="left" w:pos="709" w:leader="none"/>
        </w:tabs>
        <w:spacing w:lineRule="auto" w:line="240" w:before="0" w:after="0"/>
        <w:contextualSpacing/>
        <w:jc w:val="both"/>
        <w:rPr>
          <w:rFonts w:ascii="Arial" w:hAnsi="Arial"/>
          <w:sz w:val="22"/>
          <w:szCs w:val="22"/>
        </w:rPr>
      </w:pPr>
      <w:r>
        <w:rPr>
          <w:rFonts w:eastAsia="Calibri"/>
          <w:b w:val="false"/>
          <w:sz w:val="22"/>
          <w:szCs w:val="22"/>
        </w:rPr>
        <w:t xml:space="preserve">1.1. VĮ Valstybinių miškų urėdija (toliau – </w:t>
      </w:r>
      <w:r>
        <w:rPr>
          <w:rFonts w:eastAsia="Calibri"/>
          <w:sz w:val="22"/>
          <w:szCs w:val="22"/>
        </w:rPr>
        <w:t>Perkančioji organizacija</w:t>
      </w:r>
      <w:r>
        <w:rPr>
          <w:rFonts w:eastAsia="Calibri"/>
          <w:b w:val="false"/>
          <w:sz w:val="22"/>
          <w:szCs w:val="22"/>
        </w:rPr>
        <w:t>) atlieka</w:t>
      </w:r>
      <w:r>
        <w:rPr>
          <w:rFonts w:eastAsia="Calibri"/>
          <w:sz w:val="22"/>
          <w:szCs w:val="22"/>
        </w:rPr>
        <w:t xml:space="preserve"> mažos vertės pirkimą</w:t>
      </w:r>
      <w:r>
        <w:rPr>
          <w:rFonts w:eastAsia="Calibri"/>
          <w:b w:val="false"/>
          <w:sz w:val="22"/>
          <w:szCs w:val="22"/>
        </w:rPr>
        <w:t xml:space="preserve"> skelbiamos apklausos būdu (toliau – Pirkimas) ir numato įsigyti Perkančiosios organizacijos direktorių ir vadovų civilinės atsakomybės draudimo paslaugas</w:t>
      </w:r>
      <w:r>
        <w:rPr>
          <w:rFonts w:eastAsia="Calibri"/>
          <w:b w:val="false"/>
          <w:i/>
          <w:sz w:val="22"/>
          <w:szCs w:val="22"/>
        </w:rPr>
        <w:t xml:space="preserve"> </w:t>
      </w:r>
      <w:r>
        <w:rPr>
          <w:rFonts w:eastAsia="Calibri"/>
          <w:b w:val="false"/>
          <w:sz w:val="22"/>
          <w:szCs w:val="22"/>
        </w:rPr>
        <w:t xml:space="preserve">(toliau – </w:t>
      </w:r>
      <w:r>
        <w:rPr>
          <w:rFonts w:eastAsia="Calibri"/>
          <w:sz w:val="22"/>
          <w:szCs w:val="22"/>
        </w:rPr>
        <w:t>Pirkimo objektas</w:t>
      </w:r>
      <w:r>
        <w:rPr>
          <w:rFonts w:eastAsia="Calibri"/>
          <w:b w:val="false"/>
          <w:sz w:val="22"/>
          <w:szCs w:val="22"/>
        </w:rPr>
        <w:t xml:space="preserve">). Pirkimui taikomos šios Pirkimo specialiosios sąlygos (toliau – </w:t>
      </w:r>
      <w:r>
        <w:rPr>
          <w:rFonts w:eastAsia="Calibri"/>
          <w:sz w:val="22"/>
          <w:szCs w:val="22"/>
        </w:rPr>
        <w:t>Specialiosios sąlygos</w:t>
      </w:r>
      <w:r>
        <w:rPr>
          <w:rFonts w:eastAsia="Calibri"/>
          <w:b w:val="false"/>
          <w:sz w:val="22"/>
          <w:szCs w:val="22"/>
        </w:rPr>
        <w:t xml:space="preserve">) ir Pirkimo Bendrosios sąlygos (Pirkimo specialiųjų sąlygų 4 priedas) (toliau – </w:t>
      </w:r>
      <w:r>
        <w:rPr>
          <w:rFonts w:eastAsia="Calibri"/>
          <w:sz w:val="22"/>
          <w:szCs w:val="22"/>
        </w:rPr>
        <w:t>Bendrosios sąlygos</w:t>
      </w:r>
      <w:r>
        <w:rPr>
          <w:rFonts w:eastAsia="Calibri"/>
          <w:b w:val="false"/>
          <w:sz w:val="22"/>
          <w:szCs w:val="22"/>
        </w:rPr>
        <w:t>). Pirkimo dokumentuose naudojamos sąvokos apibrėžtos Bendrųjų sąlygų 1 skyriuje.</w:t>
      </w:r>
    </w:p>
    <w:p>
      <w:pPr>
        <w:pStyle w:val="Normal"/>
        <w:tabs>
          <w:tab w:val="clear" w:pos="1296"/>
          <w:tab w:val="left" w:pos="709" w:leader="none"/>
        </w:tabs>
        <w:spacing w:lineRule="auto" w:line="240" w:before="0" w:after="0"/>
        <w:jc w:val="both"/>
        <w:rPr>
          <w:rFonts w:ascii="Arial" w:hAnsi="Arial"/>
          <w:sz w:val="22"/>
          <w:szCs w:val="22"/>
        </w:rPr>
      </w:pPr>
      <w:r>
        <w:rPr>
          <w:rFonts w:eastAsia="Calibri"/>
          <w:b w:val="false"/>
          <w:sz w:val="22"/>
          <w:szCs w:val="22"/>
        </w:rPr>
        <w:t>1.2. Asmens, įgalioto su tiekėjais palaikyti tiesioginį ryšį ir gauti iš jų (ne tarpininkų) pranešimus, susijusius su Pirkimo procedūromis, kontaktai nurodyti skelbime apie Pirkimą.</w:t>
      </w:r>
    </w:p>
    <w:p>
      <w:pPr>
        <w:pStyle w:val="Normal"/>
        <w:tabs>
          <w:tab w:val="clear" w:pos="1296"/>
          <w:tab w:val="left" w:pos="142" w:leader="none"/>
          <w:tab w:val="left" w:pos="284" w:leader="none"/>
          <w:tab w:val="left" w:pos="709" w:leader="none"/>
        </w:tabs>
        <w:spacing w:lineRule="auto" w:line="240" w:before="0" w:after="0"/>
        <w:contextualSpacing/>
        <w:jc w:val="both"/>
        <w:rPr>
          <w:rFonts w:ascii="Arial" w:hAnsi="Arial"/>
          <w:sz w:val="22"/>
          <w:szCs w:val="22"/>
        </w:rPr>
      </w:pPr>
      <w:r>
        <w:rPr>
          <w:rFonts w:eastAsia="Calibri"/>
          <w:b w:val="false"/>
          <w:sz w:val="22"/>
          <w:szCs w:val="22"/>
        </w:rPr>
        <w:t xml:space="preserve">1.3. Ši Pirkimo procedūra atliekama siekiant sudaryti pirkimo-pardavimo Sutartį (toliau – </w:t>
      </w:r>
      <w:r>
        <w:rPr>
          <w:rFonts w:eastAsia="Calibri"/>
          <w:sz w:val="22"/>
          <w:szCs w:val="22"/>
        </w:rPr>
        <w:t>Pirkimo sutartis arba Sutartis</w:t>
      </w:r>
      <w:r>
        <w:rPr>
          <w:rFonts w:eastAsia="Calibri"/>
          <w:b w:val="false"/>
          <w:sz w:val="22"/>
          <w:szCs w:val="22"/>
        </w:rPr>
        <w:t>).</w:t>
      </w:r>
    </w:p>
    <w:p>
      <w:pPr>
        <w:pStyle w:val="Normal"/>
        <w:tabs>
          <w:tab w:val="clear" w:pos="1296"/>
          <w:tab w:val="left" w:pos="709" w:leader="none"/>
          <w:tab w:val="left" w:pos="900" w:leader="none"/>
        </w:tabs>
        <w:spacing w:lineRule="auto" w:line="240" w:before="0" w:after="0"/>
        <w:jc w:val="both"/>
        <w:rPr>
          <w:rFonts w:ascii="Arial" w:hAnsi="Arial" w:eastAsia="Calibri"/>
          <w:b w:val="false"/>
          <w:sz w:val="22"/>
          <w:szCs w:val="22"/>
        </w:rPr>
      </w:pPr>
      <w:r>
        <w:rPr>
          <w:rFonts w:eastAsia="Calibri"/>
          <w:b w:val="false"/>
          <w:sz w:val="22"/>
          <w:szCs w:val="22"/>
        </w:rPr>
      </w:r>
    </w:p>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sz w:val="22"/>
          <w:szCs w:val="22"/>
        </w:rPr>
      </w:pPr>
      <w:bookmarkStart w:id="5" w:name="__RefHeading___Toc1064_4110476004"/>
      <w:bookmarkStart w:id="6" w:name="_Toc64291753"/>
      <w:bookmarkEnd w:id="5"/>
      <w:r>
        <w:rPr>
          <w:rFonts w:eastAsia="Calibri"/>
          <w:bCs/>
          <w:sz w:val="22"/>
          <w:szCs w:val="22"/>
        </w:rPr>
        <w:t>PASIŪLYMŲ PATEIKIMO, SUSIPAŽINIMO SU PASIŪLYMAIS TERMINAI</w:t>
      </w:r>
      <w:bookmarkEnd w:id="6"/>
    </w:p>
    <w:p>
      <w:pPr>
        <w:pStyle w:val="Normal"/>
        <w:spacing w:lineRule="auto" w:line="252"/>
        <w:rPr>
          <w:rFonts w:ascii="Arial" w:hAnsi="Arial" w:eastAsia="Calibri"/>
          <w:b w:val="false"/>
          <w:sz w:val="22"/>
          <w:szCs w:val="22"/>
        </w:rPr>
      </w:pPr>
      <w:r>
        <w:rPr>
          <w:rFonts w:eastAsia="Calibri"/>
          <w:b w:val="false"/>
          <w:sz w:val="22"/>
          <w:szCs w:val="22"/>
        </w:rPr>
      </w:r>
    </w:p>
    <w:p>
      <w:pPr>
        <w:pStyle w:val="Normal"/>
        <w:tabs>
          <w:tab w:val="clear" w:pos="1296"/>
          <w:tab w:val="left" w:pos="0" w:leader="none"/>
          <w:tab w:val="left" w:pos="567" w:leader="none"/>
          <w:tab w:val="left" w:pos="851" w:leader="none"/>
        </w:tabs>
        <w:spacing w:lineRule="auto" w:line="240" w:before="0" w:after="0"/>
        <w:contextualSpacing/>
        <w:jc w:val="both"/>
        <w:rPr>
          <w:rFonts w:ascii="Arial" w:hAnsi="Arial"/>
          <w:sz w:val="22"/>
          <w:szCs w:val="22"/>
        </w:rPr>
      </w:pPr>
      <w:r>
        <w:rPr>
          <w:rFonts w:eastAsia="Calibri"/>
          <w:b w:val="false"/>
          <w:sz w:val="22"/>
          <w:szCs w:val="22"/>
        </w:rPr>
        <w:t xml:space="preserve">2.1. Pirminį pasiūlymą </w:t>
      </w:r>
      <w:r>
        <w:rPr>
          <w:rFonts w:eastAsia="Calibri"/>
          <w:b w:val="false"/>
          <w:bCs/>
          <w:iCs/>
          <w:sz w:val="22"/>
          <w:szCs w:val="22"/>
        </w:rPr>
        <w:t>reikia pateikti</w:t>
      </w:r>
      <w:r>
        <w:rPr>
          <w:rFonts w:eastAsia="Calibri"/>
          <w:b w:val="false"/>
          <w:bCs/>
          <w:i/>
          <w:sz w:val="22"/>
          <w:szCs w:val="22"/>
        </w:rPr>
        <w:t xml:space="preserve"> </w:t>
      </w:r>
      <w:r>
        <w:rPr>
          <w:rFonts w:eastAsia="Calibri"/>
          <w:b w:val="false"/>
          <w:bCs/>
          <w:sz w:val="22"/>
          <w:szCs w:val="22"/>
        </w:rPr>
        <w:t xml:space="preserve">ne vėliau kaip </w:t>
      </w:r>
      <w:r>
        <w:rPr>
          <w:rFonts w:eastAsia="Calibri"/>
          <w:sz w:val="22"/>
          <w:szCs w:val="22"/>
        </w:rPr>
        <w:t>iki datos ir laiko, nurodytų skelbime apie Pirkimą</w:t>
      </w:r>
      <w:r>
        <w:rPr>
          <w:rFonts w:eastAsia="Calibri"/>
          <w:b w:val="false"/>
          <w:bCs/>
          <w:iCs/>
          <w:sz w:val="22"/>
          <w:szCs w:val="22"/>
        </w:rPr>
        <w:t xml:space="preserve">. </w:t>
      </w:r>
    </w:p>
    <w:p>
      <w:pPr>
        <w:pStyle w:val="Normal"/>
        <w:tabs>
          <w:tab w:val="clear" w:pos="1296"/>
          <w:tab w:val="left" w:pos="0" w:leader="none"/>
          <w:tab w:val="left" w:pos="567" w:leader="none"/>
          <w:tab w:val="left" w:pos="851" w:leader="none"/>
          <w:tab w:val="left" w:pos="2977" w:leader="none"/>
        </w:tabs>
        <w:spacing w:lineRule="auto" w:line="240" w:before="0" w:after="0"/>
        <w:contextualSpacing/>
        <w:jc w:val="both"/>
        <w:rPr>
          <w:rFonts w:ascii="Arial" w:hAnsi="Arial" w:eastAsia="Calibri"/>
          <w:b w:val="false"/>
          <w:sz w:val="22"/>
          <w:szCs w:val="22"/>
        </w:rPr>
      </w:pPr>
      <w:r>
        <w:rPr>
          <w:rFonts w:eastAsia="Calibri"/>
          <w:b w:val="false"/>
          <w:sz w:val="22"/>
          <w:szCs w:val="22"/>
        </w:rPr>
      </w:r>
    </w:p>
    <w:p>
      <w:pPr>
        <w:pStyle w:val="Normal"/>
        <w:keepNext w:val="true"/>
        <w:numPr>
          <w:ilvl w:val="0"/>
          <w:numId w:val="0"/>
        </w:numPr>
        <w:tabs>
          <w:tab w:val="clear" w:pos="1296"/>
          <w:tab w:val="left" w:pos="426" w:leader="none"/>
        </w:tabs>
        <w:spacing w:lineRule="auto" w:line="240" w:before="0" w:after="0"/>
        <w:ind w:hanging="0" w:left="0"/>
        <w:outlineLvl w:val="0"/>
        <w:rPr>
          <w:rFonts w:ascii="Arial" w:hAnsi="Arial" w:eastAsia="Calibri"/>
          <w:bCs/>
          <w:vanish/>
          <w:sz w:val="22"/>
          <w:szCs w:val="22"/>
        </w:rPr>
      </w:pPr>
      <w:r>
        <w:rPr>
          <w:rFonts w:eastAsia="Calibri"/>
          <w:bCs/>
          <w:vanish/>
          <w:sz w:val="22"/>
          <w:szCs w:val="22"/>
        </w:rPr>
      </w:r>
      <w:bookmarkStart w:id="7" w:name="_Toc484092801"/>
      <w:bookmarkStart w:id="8" w:name="_Toc484503433"/>
      <w:bookmarkStart w:id="9" w:name="_Toc485712325"/>
      <w:bookmarkStart w:id="10" w:name="_Toc485737095"/>
      <w:bookmarkStart w:id="11" w:name="_Toc485889553"/>
      <w:bookmarkStart w:id="12" w:name="_Toc484092802"/>
      <w:bookmarkStart w:id="13" w:name="_Toc484503434"/>
      <w:bookmarkStart w:id="14" w:name="_Toc485712326"/>
      <w:bookmarkStart w:id="15" w:name="_Toc485737096"/>
      <w:bookmarkStart w:id="16" w:name="_Toc485889554"/>
      <w:bookmarkStart w:id="17" w:name="_Toc484092801"/>
      <w:bookmarkStart w:id="18" w:name="_Toc484503433"/>
      <w:bookmarkStart w:id="19" w:name="_Toc485712325"/>
      <w:bookmarkStart w:id="20" w:name="_Toc485737095"/>
      <w:bookmarkStart w:id="21" w:name="_Toc485889553"/>
      <w:bookmarkStart w:id="22" w:name="_Toc484092802"/>
      <w:bookmarkStart w:id="23" w:name="_Toc484503434"/>
      <w:bookmarkStart w:id="24" w:name="_Toc485712326"/>
      <w:bookmarkStart w:id="25" w:name="_Toc485737096"/>
      <w:bookmarkStart w:id="26" w:name="_Toc485889554"/>
      <w:bookmarkEnd w:id="17"/>
      <w:bookmarkEnd w:id="18"/>
      <w:bookmarkEnd w:id="19"/>
      <w:bookmarkEnd w:id="20"/>
      <w:bookmarkEnd w:id="21"/>
      <w:bookmarkEnd w:id="22"/>
      <w:bookmarkEnd w:id="23"/>
      <w:bookmarkEnd w:id="24"/>
      <w:bookmarkEnd w:id="25"/>
      <w:bookmarkEnd w:id="26"/>
    </w:p>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sz w:val="22"/>
          <w:szCs w:val="22"/>
        </w:rPr>
      </w:pPr>
      <w:bookmarkStart w:id="27" w:name="__RefHeading___Toc1066_4110476004"/>
      <w:bookmarkStart w:id="28" w:name="_Toc64291754"/>
      <w:bookmarkEnd w:id="27"/>
      <w:r>
        <w:rPr>
          <w:rFonts w:eastAsia="Calibri"/>
          <w:bCs/>
          <w:sz w:val="22"/>
          <w:szCs w:val="22"/>
        </w:rPr>
        <w:t>PIRKIMO DOKUMENTŲ PAAIŠKINIMAS IR PATIKSLINIMAS</w:t>
      </w:r>
      <w:bookmarkEnd w:id="28"/>
    </w:p>
    <w:p>
      <w:pPr>
        <w:pStyle w:val="Normal"/>
        <w:spacing w:lineRule="auto" w:line="240" w:before="0" w:after="0"/>
        <w:rPr>
          <w:rFonts w:ascii="Arial" w:hAnsi="Arial" w:eastAsia="Calibri"/>
          <w:b w:val="false"/>
          <w:sz w:val="22"/>
          <w:szCs w:val="22"/>
        </w:rPr>
      </w:pPr>
      <w:r>
        <w:rPr>
          <w:rFonts w:eastAsia="Calibri"/>
          <w:b w:val="false"/>
          <w:sz w:val="22"/>
          <w:szCs w:val="22"/>
        </w:rPr>
      </w:r>
    </w:p>
    <w:p>
      <w:pPr>
        <w:pStyle w:val="Normal"/>
        <w:tabs>
          <w:tab w:val="clear" w:pos="1296"/>
          <w:tab w:val="left" w:pos="709" w:leader="none"/>
        </w:tabs>
        <w:spacing w:lineRule="auto" w:line="240" w:before="0" w:after="0"/>
        <w:jc w:val="both"/>
        <w:rPr>
          <w:rFonts w:ascii="Arial" w:hAnsi="Arial"/>
          <w:sz w:val="22"/>
          <w:szCs w:val="22"/>
        </w:rPr>
      </w:pPr>
      <w:r>
        <w:rPr>
          <w:rFonts w:eastAsia="Calibri"/>
          <w:sz w:val="22"/>
          <w:szCs w:val="22"/>
          <w:u w:val="single"/>
        </w:rPr>
        <w:t>3.1. Tiekėjai turėtų būti aktyvūs ir pateikti klausimus ar paprašyti paaiškinti/patikslinti Pirkimo dokumentus iš karto juos išanalizavę</w:t>
      </w:r>
      <w:r>
        <w:rPr>
          <w:rFonts w:eastAsia="Calibri"/>
          <w:b w:val="false"/>
          <w:sz w:val="22"/>
          <w:szCs w:val="22"/>
        </w:rPr>
        <w:t xml:space="preserve">, atsižvelgdami į tai, kad </w:t>
      </w:r>
      <w:r>
        <w:rPr>
          <w:rFonts w:eastAsia="Calibri"/>
          <w:sz w:val="22"/>
          <w:szCs w:val="22"/>
          <w:u w:val="single"/>
        </w:rPr>
        <w:t>terminas, skirtas pateikti klausimams ir prašymams, yra ribotas.</w:t>
      </w:r>
    </w:p>
    <w:p>
      <w:pPr>
        <w:pStyle w:val="Normal"/>
        <w:tabs>
          <w:tab w:val="clear" w:pos="1296"/>
          <w:tab w:val="left" w:pos="709" w:leader="none"/>
        </w:tabs>
        <w:spacing w:lineRule="auto" w:line="240" w:before="0" w:after="0"/>
        <w:jc w:val="both"/>
        <w:rPr>
          <w:rFonts w:ascii="Arial" w:hAnsi="Arial"/>
          <w:sz w:val="22"/>
          <w:szCs w:val="22"/>
        </w:rPr>
      </w:pPr>
      <w:r>
        <w:rPr>
          <w:rFonts w:eastAsia="Calibri"/>
          <w:b w:val="false"/>
          <w:sz w:val="22"/>
          <w:szCs w:val="22"/>
        </w:rPr>
        <w:t>3.2. Terminai ir tvarka, kurios laikantis tiekėjas gali prašyti paaiškinti/patikslinti Pirkimo dokumentus ir kurios laikantis Perkančioji organizacija Pirkimo dokumentus gali paaiškinti/patikslinti savo iniciatyva, pateikiama Bendrųjų sąlygų 3 skyriuje.</w:t>
      </w:r>
    </w:p>
    <w:p>
      <w:pPr>
        <w:pStyle w:val="Normal"/>
        <w:tabs>
          <w:tab w:val="clear" w:pos="1296"/>
          <w:tab w:val="left" w:pos="709" w:leader="none"/>
        </w:tabs>
        <w:spacing w:lineRule="auto" w:line="240" w:before="0" w:after="0"/>
        <w:jc w:val="both"/>
        <w:rPr>
          <w:rFonts w:ascii="Arial" w:hAnsi="Arial" w:eastAsia="Calibri"/>
          <w:b w:val="false"/>
          <w:sz w:val="22"/>
          <w:szCs w:val="22"/>
        </w:rPr>
      </w:pPr>
      <w:r>
        <w:rPr>
          <w:rFonts w:eastAsia="Calibri"/>
          <w:b w:val="false"/>
          <w:sz w:val="22"/>
          <w:szCs w:val="22"/>
        </w:rPr>
      </w:r>
    </w:p>
    <w:p>
      <w:pPr>
        <w:pStyle w:val="Normal"/>
        <w:keepNext w:val="true"/>
        <w:numPr>
          <w:ilvl w:val="0"/>
          <w:numId w:val="1"/>
        </w:numPr>
        <w:tabs>
          <w:tab w:val="clear" w:pos="1296"/>
          <w:tab w:val="left" w:pos="426" w:leader="none"/>
        </w:tabs>
        <w:spacing w:lineRule="auto" w:line="240" w:before="0" w:after="0"/>
        <w:ind w:hanging="0" w:left="0"/>
        <w:jc w:val="center"/>
        <w:outlineLvl w:val="0"/>
        <w:rPr>
          <w:rFonts w:ascii="Arial" w:hAnsi="Arial"/>
          <w:sz w:val="22"/>
          <w:szCs w:val="22"/>
        </w:rPr>
      </w:pPr>
      <w:bookmarkStart w:id="29" w:name="__RefHeading___Toc1068_4110476004"/>
      <w:bookmarkStart w:id="30" w:name="_Toc484495966"/>
      <w:bookmarkStart w:id="31" w:name="_Toc484496025"/>
      <w:bookmarkStart w:id="32" w:name="_Toc484092998"/>
      <w:bookmarkStart w:id="33" w:name="_Toc64291755"/>
      <w:bookmarkEnd w:id="29"/>
      <w:r>
        <w:rPr>
          <w:rFonts w:eastAsia="Calibri"/>
          <w:bCs/>
          <w:sz w:val="22"/>
          <w:szCs w:val="22"/>
        </w:rPr>
        <w:t>REIKALAVIMAI PAŠALINIMO PAGRINDŲ NEBUVIMUI IR TIEKĖJŲ KVALIFIKACIJAI</w:t>
      </w:r>
      <w:bookmarkEnd w:id="32"/>
      <w:bookmarkEnd w:id="33"/>
      <w:r>
        <w:rPr>
          <w:rFonts w:eastAsia="Calibri"/>
          <w:bCs/>
          <w:sz w:val="22"/>
          <w:szCs w:val="22"/>
        </w:rPr>
        <w:t xml:space="preserve"> </w:t>
      </w:r>
      <w:bookmarkEnd w:id="30"/>
      <w:bookmarkEnd w:id="31"/>
    </w:p>
    <w:p>
      <w:pPr>
        <w:pStyle w:val="Normal"/>
        <w:spacing w:lineRule="auto" w:line="252" w:before="0" w:after="0"/>
        <w:rPr>
          <w:rFonts w:ascii="Arial" w:hAnsi="Arial" w:eastAsia="Calibri"/>
          <w:b w:val="false"/>
          <w:sz w:val="22"/>
          <w:szCs w:val="22"/>
        </w:rPr>
      </w:pPr>
      <w:r>
        <w:rPr>
          <w:rFonts w:eastAsia="Calibri"/>
          <w:b w:val="false"/>
          <w:sz w:val="22"/>
          <w:szCs w:val="22"/>
        </w:rPr>
      </w:r>
    </w:p>
    <w:p>
      <w:pPr>
        <w:pStyle w:val="Normal"/>
        <w:spacing w:lineRule="auto" w:line="240" w:before="0" w:after="0"/>
        <w:jc w:val="both"/>
        <w:rPr>
          <w:rFonts w:ascii="Arial" w:hAnsi="Arial"/>
          <w:sz w:val="22"/>
          <w:szCs w:val="22"/>
        </w:rPr>
      </w:pPr>
      <w:r>
        <w:rPr>
          <w:rFonts w:eastAsia="Calibri"/>
          <w:b w:val="false"/>
          <w:sz w:val="22"/>
          <w:szCs w:val="22"/>
        </w:rPr>
        <w:t>4.1. Tiekėjams reikalavimai dėl pašalinimo pagrindų nebuvimo</w:t>
      </w:r>
      <w:r>
        <w:rPr>
          <w:rStyle w:val="FootnoteReference"/>
          <w:rFonts w:eastAsia="Calibri"/>
          <w:b w:val="false"/>
          <w:sz w:val="22"/>
          <w:szCs w:val="22"/>
        </w:rPr>
        <w:footnoteReference w:id="2"/>
      </w:r>
      <w:r>
        <w:rPr>
          <w:rFonts w:eastAsia="Calibri"/>
          <w:b w:val="false"/>
          <w:sz w:val="22"/>
          <w:szCs w:val="22"/>
        </w:rPr>
        <w:t xml:space="preserve"> ir kvalifikacijos nėra keliami.</w:t>
      </w:r>
    </w:p>
    <w:p>
      <w:pPr>
        <w:pStyle w:val="Normal"/>
        <w:tabs>
          <w:tab w:val="clear" w:pos="1296"/>
          <w:tab w:val="left" w:pos="720" w:leader="none"/>
        </w:tabs>
        <w:spacing w:lineRule="auto" w:line="240" w:before="0" w:after="0"/>
        <w:jc w:val="both"/>
        <w:rPr>
          <w:rFonts w:ascii="Arial" w:hAnsi="Arial" w:eastAsia="Calibri"/>
          <w:b w:val="false"/>
          <w:sz w:val="22"/>
          <w:szCs w:val="22"/>
        </w:rPr>
      </w:pPr>
      <w:r>
        <w:rPr>
          <w:rFonts w:eastAsia="Calibri"/>
          <w:b w:val="false"/>
          <w:sz w:val="22"/>
          <w:szCs w:val="22"/>
        </w:rPr>
      </w:r>
    </w:p>
    <w:p>
      <w:pPr>
        <w:pStyle w:val="Normal"/>
        <w:keepNext w:val="true"/>
        <w:numPr>
          <w:ilvl w:val="0"/>
          <w:numId w:val="0"/>
        </w:numPr>
        <w:tabs>
          <w:tab w:val="clear" w:pos="1296"/>
          <w:tab w:val="left" w:pos="426" w:leader="none"/>
        </w:tabs>
        <w:spacing w:lineRule="auto" w:line="240" w:before="0" w:after="0"/>
        <w:ind w:hanging="0" w:left="0"/>
        <w:jc w:val="center"/>
        <w:outlineLvl w:val="0"/>
        <w:rPr>
          <w:rFonts w:ascii="Arial" w:hAnsi="Arial"/>
          <w:sz w:val="22"/>
          <w:szCs w:val="22"/>
        </w:rPr>
      </w:pPr>
      <w:bookmarkStart w:id="34" w:name="__RefHeading___Toc1070_4110476004"/>
      <w:bookmarkStart w:id="35" w:name="_Toc335201955"/>
      <w:bookmarkStart w:id="36" w:name="_Toc64291756"/>
      <w:bookmarkStart w:id="37" w:name="part_489d708a94334d9995f4fc89eaed432a"/>
      <w:bookmarkStart w:id="38" w:name="part_8ad558ab9da04740ad63d2699e66e1af"/>
      <w:bookmarkStart w:id="39" w:name="part_8dd55791c45b4b2491e2343a55b80c0d"/>
      <w:bookmarkStart w:id="40" w:name="part_2170867a7f614903b542f2e5cab9ada6"/>
      <w:bookmarkStart w:id="41" w:name="part_a6456a72b03b4dbdbf8abf1881c776cd"/>
      <w:bookmarkEnd w:id="34"/>
      <w:bookmarkEnd w:id="37"/>
      <w:bookmarkEnd w:id="38"/>
      <w:bookmarkEnd w:id="39"/>
      <w:bookmarkEnd w:id="40"/>
      <w:bookmarkEnd w:id="41"/>
      <w:r>
        <w:rPr>
          <w:rFonts w:eastAsia="Calibri"/>
          <w:bCs/>
          <w:sz w:val="22"/>
          <w:szCs w:val="22"/>
        </w:rPr>
        <w:t>5. PIRKIMO OBJEKTAS</w:t>
      </w:r>
      <w:bookmarkEnd w:id="35"/>
      <w:bookmarkEnd w:id="36"/>
    </w:p>
    <w:p>
      <w:pPr>
        <w:pStyle w:val="Normal"/>
        <w:spacing w:lineRule="auto" w:line="240" w:before="0" w:after="0"/>
        <w:rPr>
          <w:rFonts w:ascii="Arial" w:hAnsi="Arial" w:eastAsia="Calibri"/>
          <w:b w:val="false"/>
          <w:sz w:val="22"/>
          <w:szCs w:val="22"/>
        </w:rPr>
      </w:pPr>
      <w:r>
        <w:rPr>
          <w:rFonts w:eastAsia="Calibri"/>
          <w:b w:val="false"/>
          <w:sz w:val="22"/>
          <w:szCs w:val="22"/>
        </w:rPr>
      </w:r>
    </w:p>
    <w:p>
      <w:pPr>
        <w:pStyle w:val="Normal"/>
        <w:tabs>
          <w:tab w:val="clear" w:pos="1296"/>
          <w:tab w:val="left" w:pos="709" w:leader="none"/>
        </w:tabs>
        <w:spacing w:lineRule="auto" w:line="240" w:before="0" w:after="0"/>
        <w:jc w:val="both"/>
        <w:rPr>
          <w:rFonts w:ascii="Arial" w:hAnsi="Arial"/>
          <w:sz w:val="22"/>
          <w:szCs w:val="22"/>
        </w:rPr>
      </w:pPr>
      <w:r>
        <w:rPr>
          <w:rFonts w:eastAsia="Calibri"/>
          <w:b w:val="false"/>
          <w:sz w:val="22"/>
          <w:szCs w:val="22"/>
        </w:rPr>
        <w:t xml:space="preserve">5.1. Pirkimo objekto aprašymas pateikiamas Pirkimo specialiųjų sąlygų 1 priede </w:t>
      </w:r>
      <w:bookmarkStart w:id="42" w:name="_Hlk160448661"/>
      <w:r>
        <w:rPr>
          <w:rFonts w:eastAsia="Calibri"/>
          <w:b w:val="false"/>
          <w:sz w:val="22"/>
          <w:szCs w:val="22"/>
        </w:rPr>
        <w:t>„Techninė specifikacija“.</w:t>
      </w:r>
      <w:bookmarkEnd w:id="42"/>
    </w:p>
    <w:p>
      <w:pPr>
        <w:pStyle w:val="Normal"/>
        <w:shd w:val="clear" w:color="auto" w:fill="FFFFFF" w:themeFill="background1"/>
        <w:spacing w:lineRule="auto" w:line="240" w:before="0" w:after="0"/>
        <w:jc w:val="both"/>
        <w:rPr>
          <w:rFonts w:ascii="Arial" w:hAnsi="Arial"/>
          <w:sz w:val="22"/>
          <w:szCs w:val="22"/>
        </w:rPr>
      </w:pPr>
      <w:r>
        <w:rPr>
          <w:b w:val="false"/>
          <w:sz w:val="22"/>
          <w:szCs w:val="22"/>
        </w:rPr>
        <w:t>5.2. Draudimo apsaugos laikotarpis – 12 mėn. (nuo 202</w:t>
      </w:r>
      <w:r>
        <w:rPr>
          <w:b w:val="false"/>
          <w:sz w:val="22"/>
          <w:szCs w:val="22"/>
          <w:lang w:val="en-US"/>
        </w:rPr>
        <w:t>6</w:t>
      </w:r>
      <w:r>
        <w:rPr>
          <w:b w:val="false"/>
          <w:sz w:val="22"/>
          <w:szCs w:val="22"/>
        </w:rPr>
        <w:t xml:space="preserve"> m. balandžio 18 d. 00 val. 00 min)</w:t>
      </w:r>
      <w:r>
        <w:rPr>
          <w:b w:val="false"/>
          <w:sz w:val="22"/>
          <w:szCs w:val="22"/>
          <w:shd w:fill="FFFFFF" w:val="clear"/>
        </w:rPr>
        <w:t>. Draudimo liudijimas (polisas) turi būti išrašomas ir pateikiamas po laimėjusio pasiūlymo nustatymo ne vėliau kaip per 3 darbo dienas nuo Perkančiosios organizacijos prašymo pateikimo dienos.</w:t>
      </w:r>
    </w:p>
    <w:p>
      <w:pPr>
        <w:pStyle w:val="Normal"/>
        <w:shd w:val="clear" w:color="auto" w:fill="FFFFFF" w:themeFill="background1"/>
        <w:spacing w:lineRule="auto" w:line="240" w:before="0" w:after="0"/>
        <w:jc w:val="both"/>
        <w:rPr>
          <w:rFonts w:ascii="Arial" w:hAnsi="Arial"/>
          <w:sz w:val="22"/>
          <w:szCs w:val="22"/>
        </w:rPr>
      </w:pPr>
      <w:r>
        <w:rPr>
          <w:b w:val="false"/>
          <w:sz w:val="22"/>
          <w:szCs w:val="22"/>
        </w:rPr>
        <w:t xml:space="preserve">5.3. </w:t>
      </w:r>
      <w:r>
        <w:rPr>
          <w:b w:val="false"/>
          <w:sz w:val="22"/>
          <w:szCs w:val="22"/>
          <w:shd w:fill="FFFFFF" w:val="clear"/>
        </w:rPr>
        <w:t>Pirkimas vykdomas ir pirkimo sutartis bus sudaroma, tarpininkaujant draudimo brokeriui. Draudimo brokeris yra nurodytas Specialiųjų sąlygų 1 priede</w:t>
      </w:r>
      <w:r>
        <w:rPr>
          <w:b w:val="false"/>
          <w:sz w:val="22"/>
          <w:szCs w:val="22"/>
        </w:rPr>
        <w:t>.</w:t>
      </w:r>
    </w:p>
    <w:p>
      <w:pPr>
        <w:pStyle w:val="Normal"/>
        <w:shd w:val="clear" w:color="auto" w:fill="FFFFFF" w:themeFill="background1"/>
        <w:spacing w:lineRule="auto" w:line="240" w:before="0" w:after="0"/>
        <w:jc w:val="both"/>
        <w:rPr>
          <w:rFonts w:ascii="Arial" w:hAnsi="Arial"/>
          <w:sz w:val="22"/>
          <w:szCs w:val="22"/>
        </w:rPr>
      </w:pPr>
      <w:r>
        <w:rPr>
          <w:b w:val="false"/>
          <w:sz w:val="22"/>
          <w:szCs w:val="22"/>
        </w:rPr>
        <w:t>5.4.</w:t>
      </w:r>
      <w:r>
        <w:rPr>
          <w:b w:val="false"/>
          <w:sz w:val="22"/>
          <w:szCs w:val="22"/>
          <w:shd w:fill="FFFFFF" w:val="clear"/>
        </w:rPr>
        <w:t xml:space="preserve"> Detali informacija apie pirkimo objektą (ieškinius, reikalavimus prieš vadovus, esminių įvykių datas ir t.t. gali būti pateikta tiekėjui prieš tai pasirašius įsipareigojimą neatskleisti konfidencialios informacijos (specialiųjų Pirkimo sąlygų 5 priedas) ir pateikus CVP IS susirašinėjimo priemonėmis.</w:t>
      </w:r>
    </w:p>
    <w:p>
      <w:pPr>
        <w:pStyle w:val="Normal"/>
        <w:tabs>
          <w:tab w:val="clear" w:pos="1296"/>
          <w:tab w:val="left" w:pos="709" w:leader="none"/>
        </w:tabs>
        <w:spacing w:lineRule="auto" w:line="240" w:before="0" w:after="0"/>
        <w:jc w:val="both"/>
        <w:rPr>
          <w:rFonts w:ascii="Arial" w:hAnsi="Arial"/>
          <w:sz w:val="22"/>
          <w:szCs w:val="22"/>
        </w:rPr>
      </w:pPr>
      <w:bookmarkStart w:id="43" w:name="_Toc147739116"/>
      <w:r>
        <w:rPr>
          <w:rFonts w:eastAsia="Calibri"/>
          <w:b w:val="false"/>
          <w:iCs/>
          <w:sz w:val="22"/>
          <w:szCs w:val="22"/>
        </w:rPr>
        <w:t xml:space="preserve">5.5. Pirkimo objektas į dalis neskaidomas, tiekėjas pateikdamas Pasiūlymą turi siūlyti visą Pirkimo objekto kiekį/apimtį. </w:t>
      </w:r>
      <w:bookmarkEnd w:id="43"/>
    </w:p>
    <w:p>
      <w:pPr>
        <w:pStyle w:val="Normal"/>
        <w:tabs>
          <w:tab w:val="clear" w:pos="1296"/>
          <w:tab w:val="left" w:pos="142" w:leader="none"/>
          <w:tab w:val="left" w:pos="567" w:leader="none"/>
        </w:tabs>
        <w:spacing w:lineRule="auto" w:line="240" w:before="0" w:after="0"/>
        <w:jc w:val="both"/>
        <w:rPr>
          <w:rFonts w:ascii="Arial" w:hAnsi="Arial" w:eastAsia="Calibri"/>
          <w:b w:val="false"/>
          <w:iCs/>
          <w:sz w:val="22"/>
          <w:szCs w:val="22"/>
        </w:rPr>
      </w:pPr>
      <w:r>
        <w:rPr>
          <w:rFonts w:eastAsia="Calibri"/>
          <w:b w:val="false"/>
          <w:iCs/>
          <w:sz w:val="22"/>
          <w:szCs w:val="22"/>
        </w:rPr>
      </w:r>
    </w:p>
    <w:p>
      <w:pPr>
        <w:pStyle w:val="Normal"/>
        <w:keepNext w:val="true"/>
        <w:numPr>
          <w:ilvl w:val="0"/>
          <w:numId w:val="0"/>
        </w:numPr>
        <w:tabs>
          <w:tab w:val="clear" w:pos="1296"/>
          <w:tab w:val="left" w:pos="426" w:leader="none"/>
        </w:tabs>
        <w:spacing w:lineRule="auto" w:line="240" w:before="0" w:after="0"/>
        <w:ind w:hanging="0" w:left="495"/>
        <w:jc w:val="center"/>
        <w:outlineLvl w:val="0"/>
        <w:rPr>
          <w:rFonts w:ascii="Arial" w:hAnsi="Arial"/>
          <w:sz w:val="22"/>
          <w:szCs w:val="22"/>
        </w:rPr>
      </w:pPr>
      <w:bookmarkStart w:id="44" w:name="__RefHeading___Toc1072_4110476004"/>
      <w:bookmarkEnd w:id="44"/>
      <w:r>
        <w:rPr>
          <w:rFonts w:eastAsia="Calibri"/>
          <w:bCs/>
          <w:sz w:val="22"/>
          <w:szCs w:val="22"/>
        </w:rPr>
        <w:t xml:space="preserve">6. </w:t>
      </w:r>
      <w:bookmarkStart w:id="45" w:name="_Toc64291757"/>
      <w:r>
        <w:rPr>
          <w:rFonts w:eastAsia="Calibri"/>
          <w:bCs/>
          <w:sz w:val="22"/>
          <w:szCs w:val="22"/>
        </w:rPr>
        <w:t>REIKALAVIMAI PASIŪLYMŲ RENGIMUI IR PATEIKIMUI</w:t>
      </w:r>
      <w:bookmarkEnd w:id="45"/>
    </w:p>
    <w:p>
      <w:pPr>
        <w:pStyle w:val="Normal"/>
        <w:keepNext w:val="true"/>
        <w:numPr>
          <w:ilvl w:val="0"/>
          <w:numId w:val="0"/>
        </w:numPr>
        <w:tabs>
          <w:tab w:val="clear" w:pos="1296"/>
          <w:tab w:val="left" w:pos="426" w:leader="none"/>
        </w:tabs>
        <w:spacing w:lineRule="auto" w:line="240" w:before="0" w:after="0"/>
        <w:ind w:hanging="0" w:left="495"/>
        <w:jc w:val="center"/>
        <w:outlineLvl w:val="0"/>
        <w:rPr>
          <w:rFonts w:ascii="Arial" w:hAnsi="Arial" w:eastAsia="Calibri"/>
          <w:bCs/>
          <w:sz w:val="22"/>
          <w:szCs w:val="22"/>
        </w:rPr>
      </w:pPr>
      <w:r>
        <w:rPr>
          <w:rFonts w:eastAsia="Calibri"/>
          <w:bCs/>
          <w:sz w:val="22"/>
          <w:szCs w:val="22"/>
        </w:rPr>
      </w:r>
    </w:p>
    <w:p>
      <w:pPr>
        <w:pStyle w:val="Normal"/>
        <w:tabs>
          <w:tab w:val="clear" w:pos="1296"/>
          <w:tab w:val="left" w:pos="450" w:leader="none"/>
          <w:tab w:val="left" w:pos="567" w:leader="none"/>
          <w:tab w:val="left" w:pos="851" w:leader="none"/>
          <w:tab w:val="left" w:pos="990" w:leader="none"/>
        </w:tabs>
        <w:spacing w:lineRule="auto" w:line="240" w:before="0" w:after="0"/>
        <w:jc w:val="both"/>
        <w:rPr>
          <w:rFonts w:ascii="Arial" w:hAnsi="Arial" w:eastAsia="Calibri"/>
          <w:b w:val="false"/>
          <w:vanish/>
          <w:sz w:val="22"/>
          <w:szCs w:val="22"/>
        </w:rPr>
      </w:pPr>
      <w:r>
        <w:rPr>
          <w:rFonts w:eastAsia="Calibri"/>
          <w:b w:val="false"/>
          <w:vanish/>
          <w:sz w:val="22"/>
          <w:szCs w:val="22"/>
        </w:rPr>
      </w:r>
    </w:p>
    <w:p>
      <w:pPr>
        <w:pStyle w:val="Normal"/>
        <w:tabs>
          <w:tab w:val="clear" w:pos="1296"/>
          <w:tab w:val="left" w:pos="450" w:leader="none"/>
          <w:tab w:val="left" w:pos="567" w:leader="none"/>
          <w:tab w:val="left" w:pos="851" w:leader="none"/>
          <w:tab w:val="left" w:pos="990" w:leader="none"/>
        </w:tabs>
        <w:spacing w:lineRule="auto" w:line="240" w:before="0" w:after="0"/>
        <w:jc w:val="both"/>
        <w:rPr>
          <w:rFonts w:ascii="Arial" w:hAnsi="Arial"/>
          <w:sz w:val="22"/>
          <w:szCs w:val="22"/>
        </w:rPr>
      </w:pPr>
      <w:r>
        <w:rPr>
          <w:rFonts w:eastAsia="Calibri"/>
          <w:b w:val="false"/>
          <w:sz w:val="22"/>
          <w:szCs w:val="22"/>
        </w:rPr>
        <w:t>6.1. Detalūs pasiūlymų rengimui ir pateikimui keliami reikalavimai pateikiami Bendrųjų sąlygų 7 skyriuje.</w:t>
      </w:r>
    </w:p>
    <w:p>
      <w:pPr>
        <w:pStyle w:val="Normal"/>
        <w:tabs>
          <w:tab w:val="clear" w:pos="1296"/>
          <w:tab w:val="left" w:pos="0" w:leader="none"/>
          <w:tab w:val="left" w:pos="567" w:leader="none"/>
          <w:tab w:val="left" w:pos="851" w:leader="none"/>
        </w:tabs>
        <w:spacing w:lineRule="auto" w:line="240" w:before="0" w:after="0"/>
        <w:contextualSpacing/>
        <w:jc w:val="both"/>
        <w:rPr>
          <w:rFonts w:ascii="Arial" w:hAnsi="Arial"/>
          <w:sz w:val="22"/>
          <w:szCs w:val="22"/>
        </w:rPr>
      </w:pPr>
      <w:r>
        <w:rPr>
          <w:rFonts w:eastAsia="Calibri"/>
          <w:b w:val="false"/>
          <w:sz w:val="22"/>
          <w:szCs w:val="22"/>
        </w:rPr>
        <w:t>6.2. Pirminį ir Galutinį pasiūlymą reikia pateikti CVP IS priemonėmis.</w:t>
      </w:r>
      <w:r>
        <w:rPr>
          <w:sz w:val="22"/>
          <w:szCs w:val="22"/>
        </w:rPr>
        <w:t xml:space="preserve"> </w:t>
      </w:r>
      <w:r>
        <w:rPr>
          <w:rFonts w:eastAsia="Calibri"/>
          <w:b w:val="false"/>
          <w:sz w:val="22"/>
          <w:szCs w:val="22"/>
        </w:rPr>
        <w:t>Detalesnė pasiūlymo pateikimo CVP IS priemonėmis informacija pateikiama Viešųjų pirkimų tarnybos internetinėje svetainėje, adresu:</w:t>
      </w:r>
    </w:p>
    <w:p>
      <w:pPr>
        <w:pStyle w:val="Normal"/>
        <w:tabs>
          <w:tab w:val="clear" w:pos="1296"/>
          <w:tab w:val="left" w:pos="0" w:leader="none"/>
          <w:tab w:val="left" w:pos="567" w:leader="none"/>
          <w:tab w:val="left" w:pos="851" w:leader="none"/>
        </w:tabs>
        <w:spacing w:lineRule="auto" w:line="240" w:before="0" w:after="0"/>
        <w:contextualSpacing/>
        <w:jc w:val="both"/>
        <w:rPr>
          <w:rFonts w:ascii="Arial" w:hAnsi="Arial"/>
          <w:sz w:val="22"/>
          <w:szCs w:val="22"/>
        </w:rPr>
      </w:pPr>
      <w:r>
        <w:rPr>
          <w:rFonts w:eastAsia="Calibri"/>
          <w:b w:val="false"/>
          <w:sz w:val="22"/>
          <w:szCs w:val="22"/>
        </w:rPr>
        <w:t xml:space="preserve">https://vpt.lrv.lt/lt/nauja-cvp-is-aktuali-nuo-2024-12-01/metodine-medziaga-instrukcijos/tiekejamsnaujaCVPIS/   </w:t>
      </w:r>
    </w:p>
    <w:p>
      <w:pPr>
        <w:pStyle w:val="Normal"/>
        <w:tabs>
          <w:tab w:val="clear" w:pos="1296"/>
          <w:tab w:val="left" w:pos="450" w:leader="none"/>
          <w:tab w:val="left" w:pos="567" w:leader="none"/>
          <w:tab w:val="left" w:pos="851" w:leader="none"/>
          <w:tab w:val="left" w:pos="990" w:leader="none"/>
        </w:tabs>
        <w:spacing w:lineRule="auto" w:line="240" w:before="0" w:after="0"/>
        <w:jc w:val="both"/>
        <w:rPr>
          <w:rFonts w:ascii="Arial" w:hAnsi="Arial" w:eastAsia="Calibri"/>
          <w:bCs/>
          <w:sz w:val="22"/>
          <w:szCs w:val="22"/>
        </w:rPr>
      </w:pPr>
      <w:r>
        <w:rPr>
          <w:rFonts w:eastAsia="Calibri"/>
          <w:bCs/>
          <w:sz w:val="22"/>
          <w:szCs w:val="22"/>
        </w:rPr>
      </w:r>
      <w:bookmarkStart w:id="46" w:name="_Hlk483902607"/>
      <w:bookmarkStart w:id="47" w:name="_Hlk483902607"/>
      <w:bookmarkEnd w:id="47"/>
    </w:p>
    <w:p>
      <w:pPr>
        <w:pStyle w:val="Normal"/>
        <w:keepNext w:val="true"/>
        <w:numPr>
          <w:ilvl w:val="0"/>
          <w:numId w:val="0"/>
        </w:numPr>
        <w:tabs>
          <w:tab w:val="clear" w:pos="1296"/>
          <w:tab w:val="left" w:pos="426" w:leader="none"/>
        </w:tabs>
        <w:spacing w:lineRule="auto" w:line="240" w:before="0" w:after="0"/>
        <w:ind w:hanging="0" w:left="0"/>
        <w:jc w:val="center"/>
        <w:outlineLvl w:val="0"/>
        <w:rPr>
          <w:rFonts w:ascii="Arial" w:hAnsi="Arial"/>
          <w:sz w:val="22"/>
          <w:szCs w:val="22"/>
        </w:rPr>
      </w:pPr>
      <w:bookmarkStart w:id="48" w:name="__RefHeading___Toc1074_4110476004"/>
      <w:bookmarkStart w:id="49" w:name="_Toc64291758"/>
      <w:bookmarkEnd w:id="48"/>
      <w:r>
        <w:rPr>
          <w:rFonts w:eastAsia="Calibri"/>
          <w:bCs/>
          <w:sz w:val="22"/>
          <w:szCs w:val="22"/>
        </w:rPr>
        <w:t>7. PASIŪLYMŲ GALIOJIMAS IR PASIŪLYMŲ GALIOJIMO UŽTIKRINIMAS</w:t>
      </w:r>
      <w:bookmarkEnd w:id="49"/>
    </w:p>
    <w:p>
      <w:pPr>
        <w:pStyle w:val="Normal"/>
        <w:spacing w:lineRule="auto" w:line="240" w:before="0" w:after="0"/>
        <w:jc w:val="both"/>
        <w:rPr>
          <w:rFonts w:ascii="Arial" w:hAnsi="Arial" w:eastAsia="Calibri"/>
          <w:b w:val="false"/>
          <w:i/>
          <w:i/>
          <w:iCs/>
          <w:sz w:val="22"/>
          <w:szCs w:val="22"/>
        </w:rPr>
      </w:pPr>
      <w:r>
        <w:rPr>
          <w:rFonts w:eastAsia="Calibri"/>
          <w:b w:val="false"/>
          <w:i/>
          <w:iCs/>
          <w:sz w:val="22"/>
          <w:szCs w:val="22"/>
        </w:rPr>
      </w:r>
      <w:bookmarkStart w:id="50" w:name="_Hlk483902607_Copy_1"/>
      <w:bookmarkStart w:id="51" w:name="_Hlk483902607_Copy_1"/>
      <w:bookmarkEnd w:id="51"/>
    </w:p>
    <w:p>
      <w:pPr>
        <w:pStyle w:val="Normal"/>
        <w:tabs>
          <w:tab w:val="clear" w:pos="1296"/>
          <w:tab w:val="left" w:pos="426" w:leader="none"/>
        </w:tabs>
        <w:spacing w:lineRule="auto" w:line="240" w:before="0" w:after="0"/>
        <w:contextualSpacing/>
        <w:jc w:val="both"/>
        <w:rPr>
          <w:rFonts w:ascii="Arial" w:hAnsi="Arial"/>
          <w:sz w:val="22"/>
          <w:szCs w:val="22"/>
        </w:rPr>
      </w:pPr>
      <w:r>
        <w:rPr>
          <w:rFonts w:eastAsia="Calibri"/>
          <w:b w:val="false"/>
          <w:sz w:val="22"/>
          <w:szCs w:val="22"/>
        </w:rPr>
        <w:t xml:space="preserve">7.1. Perkančioji organizacija nereikalauja kartu su pasiūlymu pateikti pasiūlymo galiojimo užtikrinimą patvirtinančio dokumento (kaip nustatyta Bendrųjų sąlygų 8 skyriuje), tačiau Tiekėjas, Perkančiajai organizacijai pareikalavus, turės sumokėti </w:t>
      </w:r>
      <w:r>
        <w:rPr>
          <w:rFonts w:eastAsia="Calibri"/>
          <w:bCs/>
          <w:iCs/>
          <w:sz w:val="22"/>
          <w:szCs w:val="22"/>
          <w:lang w:val="en-US"/>
        </w:rPr>
        <w:t>500,00 Eur</w:t>
      </w:r>
      <w:r>
        <w:rPr>
          <w:rFonts w:eastAsia="Calibri"/>
          <w:bCs/>
          <w:iCs/>
          <w:sz w:val="22"/>
          <w:szCs w:val="22"/>
        </w:rPr>
        <w:t xml:space="preserve"> (penkis šimtus eurų, 00 ct)</w:t>
      </w:r>
      <w:r>
        <w:rPr>
          <w:rFonts w:eastAsia="Calibri"/>
          <w:bCs/>
          <w:sz w:val="22"/>
          <w:szCs w:val="22"/>
        </w:rPr>
        <w:t xml:space="preserve"> </w:t>
      </w:r>
      <w:r>
        <w:rPr>
          <w:rFonts w:eastAsia="Calibri"/>
          <w:b w:val="false"/>
          <w:sz w:val="22"/>
          <w:szCs w:val="22"/>
        </w:rPr>
        <w:t>baudą, jeigu jis:</w:t>
      </w:r>
    </w:p>
    <w:p>
      <w:pPr>
        <w:pStyle w:val="Normal"/>
        <w:tabs>
          <w:tab w:val="clear" w:pos="1296"/>
          <w:tab w:val="left" w:pos="426" w:leader="none"/>
        </w:tabs>
        <w:spacing w:lineRule="auto" w:line="240" w:before="0" w:after="0"/>
        <w:ind w:hanging="709" w:left="993"/>
        <w:contextualSpacing/>
        <w:jc w:val="both"/>
        <w:rPr>
          <w:rFonts w:ascii="Arial" w:hAnsi="Arial"/>
          <w:sz w:val="22"/>
          <w:szCs w:val="22"/>
        </w:rPr>
      </w:pPr>
      <w:r>
        <w:rPr>
          <w:rFonts w:eastAsia="Calibri"/>
          <w:b w:val="false"/>
          <w:sz w:val="22"/>
          <w:szCs w:val="22"/>
        </w:rPr>
        <w:t>7.1.1. atšauks arba pakeis savo pasiūlymą pasiūlymo galiojimo laikotarpiu;</w:t>
      </w:r>
    </w:p>
    <w:p>
      <w:pPr>
        <w:pStyle w:val="Normal"/>
        <w:spacing w:lineRule="auto" w:line="240" w:before="0" w:after="0"/>
        <w:ind w:left="284"/>
        <w:jc w:val="both"/>
        <w:rPr>
          <w:rFonts w:ascii="Arial" w:hAnsi="Arial"/>
          <w:sz w:val="22"/>
          <w:szCs w:val="22"/>
        </w:rPr>
      </w:pPr>
      <w:r>
        <w:rPr>
          <w:rFonts w:eastAsia="Calibri"/>
          <w:b w:val="false"/>
          <w:sz w:val="22"/>
          <w:szCs w:val="22"/>
        </w:rPr>
        <w:t>7.1.2. laimėjęs Pirkimą, vengs arba atsisakys pasirašyti Sutartį per Perkančiosios organizacijos nurodytą terminą.</w:t>
      </w:r>
    </w:p>
    <w:p>
      <w:pPr>
        <w:pStyle w:val="Normal"/>
        <w:tabs>
          <w:tab w:val="clear" w:pos="1296"/>
          <w:tab w:val="left" w:pos="426" w:leader="none"/>
        </w:tabs>
        <w:spacing w:lineRule="auto" w:line="240" w:before="0" w:after="0"/>
        <w:contextualSpacing/>
        <w:jc w:val="both"/>
        <w:rPr>
          <w:rFonts w:ascii="Arial" w:hAnsi="Arial"/>
          <w:sz w:val="22"/>
          <w:szCs w:val="22"/>
        </w:rPr>
      </w:pPr>
      <w:r>
        <w:rPr>
          <w:rFonts w:eastAsia="Calibri"/>
          <w:b w:val="false"/>
          <w:sz w:val="22"/>
          <w:szCs w:val="22"/>
        </w:rPr>
        <w:t>7.2. Galutinio pasiūlymo pateikimas nelaikomas pasiūlymo atšaukimu ar keitimu kaip nustatyta šio skyriaus 7.1.1 punkte, išskyrus atvejus, kai tiekėjas pateikdamas Galutinį pasiūlymą nebeatitinka minimalių Pirkimo dokumentų reikalavimų arba Galutiniuose pasiūlymuose nurodyta kaina yra didesnė nei suderėta ir užfiksuota derybų metu, ar nurodyta Pirminiame pasiūlyme (jeigu derybų metu kaina nebuvo užfiksuota).</w:t>
      </w:r>
    </w:p>
    <w:p>
      <w:pPr>
        <w:pStyle w:val="Normal"/>
        <w:tabs>
          <w:tab w:val="clear" w:pos="1296"/>
          <w:tab w:val="left" w:pos="426" w:leader="none"/>
        </w:tabs>
        <w:spacing w:lineRule="auto" w:line="240" w:before="0" w:after="0"/>
        <w:contextualSpacing/>
        <w:jc w:val="both"/>
        <w:rPr>
          <w:rFonts w:ascii="Arial" w:hAnsi="Arial"/>
          <w:sz w:val="22"/>
          <w:szCs w:val="22"/>
        </w:rPr>
      </w:pPr>
      <w:r>
        <w:rPr>
          <w:rFonts w:eastAsia="Calibri"/>
          <w:b w:val="false"/>
          <w:sz w:val="22"/>
          <w:szCs w:val="22"/>
        </w:rPr>
        <w:t>7.3. Reikalavimai pasiūlymo galiojimo terminui pateikti Bendrųjų sąlygų 8.1 punkte.</w:t>
      </w:r>
    </w:p>
    <w:p>
      <w:pPr>
        <w:pStyle w:val="Normal"/>
        <w:spacing w:lineRule="auto" w:line="240" w:before="0" w:after="0"/>
        <w:jc w:val="both"/>
        <w:rPr>
          <w:rFonts w:ascii="Arial" w:hAnsi="Arial" w:eastAsia="Calibri"/>
          <w:b w:val="false"/>
          <w:i/>
          <w:i/>
          <w:iCs/>
          <w:sz w:val="22"/>
          <w:szCs w:val="22"/>
        </w:rPr>
      </w:pPr>
      <w:r>
        <w:rPr>
          <w:rFonts w:eastAsia="Calibri"/>
          <w:b w:val="false"/>
          <w:i/>
          <w:iCs/>
          <w:sz w:val="22"/>
          <w:szCs w:val="22"/>
        </w:rPr>
      </w:r>
    </w:p>
    <w:p>
      <w:pPr>
        <w:pStyle w:val="Normal"/>
        <w:keepNext w:val="true"/>
        <w:numPr>
          <w:ilvl w:val="0"/>
          <w:numId w:val="0"/>
        </w:numPr>
        <w:tabs>
          <w:tab w:val="clear" w:pos="1296"/>
          <w:tab w:val="left" w:pos="426" w:leader="none"/>
        </w:tabs>
        <w:spacing w:lineRule="auto" w:line="240" w:before="0" w:after="0"/>
        <w:ind w:hanging="0" w:left="0"/>
        <w:jc w:val="center"/>
        <w:outlineLvl w:val="0"/>
        <w:rPr>
          <w:rFonts w:ascii="Arial" w:hAnsi="Arial"/>
          <w:sz w:val="22"/>
          <w:szCs w:val="22"/>
        </w:rPr>
      </w:pPr>
      <w:bookmarkStart w:id="52" w:name="__RefHeading___Toc1076_4110476004"/>
      <w:bookmarkStart w:id="53" w:name="_Toc64291759"/>
      <w:bookmarkEnd w:id="52"/>
      <w:r>
        <w:rPr>
          <w:rFonts w:eastAsia="Calibri"/>
          <w:bCs/>
          <w:sz w:val="22"/>
          <w:szCs w:val="22"/>
        </w:rPr>
        <w:t>8. PASIŪLYMĄ SUDARANTYS DOKUMENTAI</w:t>
      </w:r>
      <w:bookmarkEnd w:id="53"/>
    </w:p>
    <w:p>
      <w:pPr>
        <w:pStyle w:val="Normal"/>
        <w:tabs>
          <w:tab w:val="clear" w:pos="1296"/>
          <w:tab w:val="left" w:pos="0" w:leader="none"/>
          <w:tab w:val="left" w:pos="567" w:leader="none"/>
          <w:tab w:val="left" w:pos="851" w:leader="none"/>
        </w:tabs>
        <w:spacing w:lineRule="auto" w:line="240" w:before="0" w:after="0"/>
        <w:jc w:val="both"/>
        <w:rPr>
          <w:rFonts w:ascii="Arial" w:hAnsi="Arial" w:eastAsia="Calibri"/>
          <w:b w:val="false"/>
          <w:bCs/>
          <w:i/>
          <w:i/>
          <w:iCs/>
          <w:sz w:val="22"/>
          <w:szCs w:val="22"/>
        </w:rPr>
      </w:pPr>
      <w:r>
        <w:rPr>
          <w:rFonts w:eastAsia="Calibri"/>
          <w:b w:val="false"/>
          <w:bCs/>
          <w:i/>
          <w:iCs/>
          <w:sz w:val="22"/>
          <w:szCs w:val="22"/>
        </w:rPr>
      </w:r>
    </w:p>
    <w:p>
      <w:pPr>
        <w:pStyle w:val="Normal"/>
        <w:tabs>
          <w:tab w:val="clear" w:pos="1296"/>
          <w:tab w:val="left" w:pos="567" w:leader="none"/>
          <w:tab w:val="left" w:pos="709" w:leader="none"/>
          <w:tab w:val="left" w:pos="851" w:leader="none"/>
        </w:tabs>
        <w:spacing w:lineRule="auto" w:line="240" w:before="0" w:after="0"/>
        <w:contextualSpacing/>
        <w:jc w:val="both"/>
        <w:rPr>
          <w:rFonts w:ascii="Arial" w:hAnsi="Arial"/>
          <w:sz w:val="22"/>
          <w:szCs w:val="22"/>
        </w:rPr>
      </w:pPr>
      <w:r>
        <w:rPr>
          <w:rFonts w:eastAsia="Calibri"/>
          <w:b w:val="false"/>
          <w:sz w:val="22"/>
          <w:szCs w:val="22"/>
        </w:rPr>
        <w:t>8.1. Iki Pirminių pasiūlymų pateikimo termino pabaigos pasiūlyme tiekėjas turi pateikti:</w:t>
      </w:r>
    </w:p>
    <w:p>
      <w:pPr>
        <w:pStyle w:val="Normal"/>
        <w:tabs>
          <w:tab w:val="clear" w:pos="1296"/>
          <w:tab w:val="left" w:pos="709" w:leader="none"/>
          <w:tab w:val="left" w:pos="993" w:leader="none"/>
        </w:tabs>
        <w:spacing w:lineRule="auto" w:line="240" w:before="0" w:after="0"/>
        <w:ind w:hanging="709" w:left="993"/>
        <w:contextualSpacing/>
        <w:jc w:val="both"/>
        <w:rPr>
          <w:rFonts w:ascii="Arial" w:hAnsi="Arial"/>
          <w:sz w:val="22"/>
          <w:szCs w:val="22"/>
        </w:rPr>
      </w:pPr>
      <w:r>
        <w:rPr>
          <w:rFonts w:eastAsia="Calibri"/>
          <w:b w:val="false"/>
          <w:sz w:val="22"/>
          <w:szCs w:val="22"/>
        </w:rPr>
        <w:t>8.1.1. pasirašytą Pasiūlymo formą (Specialiųjų sąlygų 2 priedas);</w:t>
      </w:r>
    </w:p>
    <w:p>
      <w:pPr>
        <w:pStyle w:val="Normal"/>
        <w:tabs>
          <w:tab w:val="clear" w:pos="1296"/>
          <w:tab w:val="left" w:pos="709" w:leader="none"/>
          <w:tab w:val="left" w:pos="993" w:leader="none"/>
        </w:tabs>
        <w:spacing w:lineRule="auto" w:line="240" w:before="0" w:after="0"/>
        <w:ind w:hanging="709" w:left="993"/>
        <w:contextualSpacing/>
        <w:jc w:val="both"/>
        <w:rPr>
          <w:rFonts w:ascii="Arial" w:hAnsi="Arial"/>
          <w:sz w:val="22"/>
          <w:szCs w:val="22"/>
        </w:rPr>
      </w:pPr>
      <w:r>
        <w:rPr>
          <w:rFonts w:eastAsia="Calibri"/>
          <w:b w:val="false"/>
          <w:sz w:val="22"/>
          <w:szCs w:val="22"/>
        </w:rPr>
        <w:t>8.1.2. draudimo liudijimo (poliso) projektą;</w:t>
      </w:r>
    </w:p>
    <w:p>
      <w:pPr>
        <w:pStyle w:val="Normal"/>
        <w:tabs>
          <w:tab w:val="clear" w:pos="1296"/>
          <w:tab w:val="left" w:pos="709" w:leader="none"/>
          <w:tab w:val="left" w:pos="993" w:leader="none"/>
        </w:tabs>
        <w:spacing w:lineRule="auto" w:line="240" w:before="0" w:after="0"/>
        <w:ind w:left="284"/>
        <w:contextualSpacing/>
        <w:jc w:val="both"/>
        <w:rPr>
          <w:rFonts w:ascii="Arial" w:hAnsi="Arial"/>
          <w:sz w:val="22"/>
          <w:szCs w:val="22"/>
        </w:rPr>
      </w:pPr>
      <w:r>
        <w:rPr>
          <w:rFonts w:eastAsia="Calibri"/>
          <w:b w:val="false"/>
          <w:sz w:val="22"/>
          <w:szCs w:val="22"/>
        </w:rPr>
        <w:t>8.1.3. jei Pasiūlymo formą pasirašo tiekėjo vadovo įgaliotas asmuo, pasiūlyme turi būti pridėtas tokią teisę suteikiantis pasirašytas galiojantis įgaliojimas arba kitas dokumentas;</w:t>
      </w:r>
    </w:p>
    <w:p>
      <w:pPr>
        <w:pStyle w:val="Normal"/>
        <w:tabs>
          <w:tab w:val="clear" w:pos="1296"/>
          <w:tab w:val="left" w:pos="709" w:leader="none"/>
          <w:tab w:val="left" w:pos="993" w:leader="none"/>
        </w:tabs>
        <w:spacing w:lineRule="auto" w:line="240" w:before="0" w:after="0"/>
        <w:ind w:hanging="709" w:left="993"/>
        <w:contextualSpacing/>
        <w:jc w:val="both"/>
        <w:rPr>
          <w:rFonts w:ascii="Arial" w:hAnsi="Arial"/>
          <w:sz w:val="22"/>
          <w:szCs w:val="22"/>
        </w:rPr>
      </w:pPr>
      <w:r>
        <w:rPr>
          <w:rFonts w:eastAsia="Calibri"/>
          <w:b w:val="false"/>
          <w:sz w:val="22"/>
          <w:szCs w:val="22"/>
        </w:rPr>
        <w:t xml:space="preserve">8.1.4. </w:t>
      </w:r>
      <w:r>
        <w:rPr>
          <w:rFonts w:eastAsia="Calibri"/>
          <w:b w:val="false"/>
          <w:kern w:val="2"/>
          <w:sz w:val="22"/>
          <w:szCs w:val="22"/>
          <w14:ligatures w14:val="standardContextual"/>
        </w:rPr>
        <w:t xml:space="preserve">jei pasiūlymą pateikia tiekėjų grupė, pasirašytą jungtinės veiklos sutarties kopiją;  </w:t>
      </w:r>
    </w:p>
    <w:p>
      <w:pPr>
        <w:pStyle w:val="Normal"/>
        <w:tabs>
          <w:tab w:val="clear" w:pos="1296"/>
          <w:tab w:val="left" w:pos="709" w:leader="none"/>
          <w:tab w:val="left" w:pos="993" w:leader="none"/>
        </w:tabs>
        <w:spacing w:lineRule="auto" w:line="240" w:before="0" w:after="0"/>
        <w:ind w:left="284"/>
        <w:contextualSpacing/>
        <w:jc w:val="both"/>
        <w:rPr>
          <w:rFonts w:ascii="Arial" w:hAnsi="Arial"/>
          <w:sz w:val="22"/>
          <w:szCs w:val="22"/>
        </w:rPr>
      </w:pPr>
      <w:r>
        <w:rPr>
          <w:rFonts w:eastAsia="Calibri"/>
          <w:b w:val="false"/>
          <w:sz w:val="22"/>
          <w:szCs w:val="22"/>
        </w:rPr>
        <w:t xml:space="preserve">8.1.5. </w:t>
      </w:r>
      <w:r>
        <w:rPr>
          <w:rFonts w:eastAsia="Calibri"/>
          <w:b w:val="false"/>
          <w:kern w:val="2"/>
          <w:sz w:val="22"/>
          <w:szCs w:val="22"/>
          <w14:ligatures w14:val="standardContextual"/>
        </w:rPr>
        <w:t>užpildytą ir pasirašytą VPĮ 45 str. 2</w:t>
      </w:r>
      <w:r>
        <w:rPr>
          <w:rFonts w:eastAsia="Calibri"/>
          <w:b w:val="false"/>
          <w:kern w:val="2"/>
          <w:sz w:val="22"/>
          <w:szCs w:val="22"/>
          <w:vertAlign w:val="superscript"/>
          <w14:ligatures w14:val="standardContextual"/>
        </w:rPr>
        <w:t>1</w:t>
      </w:r>
      <w:r>
        <w:rPr>
          <w:rFonts w:eastAsia="Calibri"/>
          <w:b w:val="false"/>
          <w:kern w:val="2"/>
          <w:sz w:val="22"/>
          <w:szCs w:val="22"/>
          <w14:ligatures w14:val="standardContextual"/>
        </w:rPr>
        <w:t xml:space="preserve"> d. reikalavimų atitikties deklaraciją (Specialiųjų sąlygų 7 priedas);</w:t>
      </w:r>
    </w:p>
    <w:p>
      <w:pPr>
        <w:pStyle w:val="Normal"/>
        <w:tabs>
          <w:tab w:val="clear" w:pos="1296"/>
          <w:tab w:val="left" w:pos="709" w:leader="none"/>
          <w:tab w:val="left" w:pos="993" w:leader="none"/>
        </w:tabs>
        <w:spacing w:lineRule="auto" w:line="240" w:before="0" w:after="0"/>
        <w:ind w:left="284"/>
        <w:contextualSpacing/>
        <w:jc w:val="both"/>
        <w:rPr>
          <w:rFonts w:ascii="Arial" w:hAnsi="Arial"/>
          <w:sz w:val="22"/>
          <w:szCs w:val="22"/>
        </w:rPr>
      </w:pPr>
      <w:r>
        <w:rPr>
          <w:rFonts w:eastAsia="Calibri"/>
          <w:b w:val="false"/>
          <w:kern w:val="2"/>
          <w:sz w:val="22"/>
          <w:szCs w:val="22"/>
          <w14:ligatures w14:val="standardContextual"/>
        </w:rPr>
        <w:t>8.1.6. užpildytą ir pasirašytą tiekėjo deklaraciją dėl atitikties reglamento nuostatoms juridiniams ar fiziniams asmenims (Specialiųjų sąlygų 6 priedas).</w:t>
      </w:r>
    </w:p>
    <w:p>
      <w:pPr>
        <w:pStyle w:val="Normal"/>
        <w:tabs>
          <w:tab w:val="clear" w:pos="1296"/>
          <w:tab w:val="left" w:pos="709" w:leader="none"/>
          <w:tab w:val="left" w:pos="993" w:leader="none"/>
        </w:tabs>
        <w:spacing w:lineRule="auto" w:line="240" w:before="0" w:after="0"/>
        <w:ind w:hanging="709" w:left="993"/>
        <w:contextualSpacing/>
        <w:jc w:val="both"/>
        <w:rPr>
          <w:rFonts w:ascii="Arial" w:hAnsi="Arial"/>
          <w:sz w:val="22"/>
          <w:szCs w:val="22"/>
        </w:rPr>
      </w:pPr>
      <w:r>
        <w:rPr>
          <w:rFonts w:eastAsia="Calibri"/>
          <w:b w:val="false"/>
          <w:color w:val="000000"/>
          <w:sz w:val="22"/>
          <w:szCs w:val="22"/>
        </w:rPr>
        <w:t>8.1.7. kitą pirkimo dokumentuose prašomą informaciją ir (ar) dokumentus (jeigu prašoma).</w:t>
      </w:r>
    </w:p>
    <w:p>
      <w:pPr>
        <w:pStyle w:val="Normal"/>
        <w:tabs>
          <w:tab w:val="clear" w:pos="1296"/>
          <w:tab w:val="left" w:pos="709" w:leader="none"/>
          <w:tab w:val="left" w:pos="993" w:leader="none"/>
        </w:tabs>
        <w:spacing w:lineRule="auto" w:line="240" w:before="0" w:after="0"/>
        <w:contextualSpacing/>
        <w:jc w:val="both"/>
        <w:rPr>
          <w:rFonts w:ascii="Arial" w:hAnsi="Arial"/>
          <w:sz w:val="22"/>
          <w:szCs w:val="22"/>
        </w:rPr>
      </w:pPr>
      <w:r>
        <w:rPr>
          <w:rFonts w:eastAsia="Calibri"/>
          <w:b w:val="false"/>
          <w:color w:val="000000"/>
          <w:sz w:val="22"/>
          <w:szCs w:val="22"/>
        </w:rPr>
        <w:t>8.2. Perkančiajai organizacijai pakvietus pateikti Galutinį pasiūlymą, iki Galutinių pasiūlymų pateikimo termino pabaigos Galutiniame pasiūlyme tiekėjas turi pateikti:</w:t>
      </w:r>
    </w:p>
    <w:p>
      <w:pPr>
        <w:pStyle w:val="Normal"/>
        <w:tabs>
          <w:tab w:val="clear" w:pos="1296"/>
          <w:tab w:val="left" w:pos="709" w:leader="none"/>
          <w:tab w:val="left" w:pos="993" w:leader="none"/>
        </w:tabs>
        <w:spacing w:lineRule="auto" w:line="240" w:before="0" w:after="0"/>
        <w:contextualSpacing/>
        <w:jc w:val="both"/>
        <w:rPr>
          <w:rFonts w:ascii="Arial" w:hAnsi="Arial"/>
          <w:sz w:val="22"/>
          <w:szCs w:val="22"/>
        </w:rPr>
      </w:pPr>
      <w:r>
        <w:rPr>
          <w:rFonts w:eastAsia="Calibri"/>
          <w:b w:val="false"/>
          <w:color w:val="000000"/>
          <w:sz w:val="22"/>
          <w:szCs w:val="22"/>
        </w:rPr>
        <w:t>8.2.1. pasirašytą Pasiūlymo formą (Specialiųjų sąlygų 2 priedas);</w:t>
      </w:r>
    </w:p>
    <w:p>
      <w:pPr>
        <w:pStyle w:val="Normal"/>
        <w:tabs>
          <w:tab w:val="clear" w:pos="1296"/>
          <w:tab w:val="left" w:pos="709" w:leader="none"/>
          <w:tab w:val="left" w:pos="993" w:leader="none"/>
        </w:tabs>
        <w:spacing w:lineRule="auto" w:line="240" w:before="0" w:after="0"/>
        <w:contextualSpacing/>
        <w:jc w:val="both"/>
        <w:rPr>
          <w:rFonts w:ascii="Arial" w:hAnsi="Arial"/>
          <w:sz w:val="22"/>
          <w:szCs w:val="22"/>
        </w:rPr>
      </w:pPr>
      <w:r>
        <w:rPr>
          <w:rFonts w:eastAsia="Calibri"/>
          <w:b w:val="false"/>
          <w:color w:val="000000"/>
          <w:sz w:val="22"/>
          <w:szCs w:val="22"/>
        </w:rPr>
        <w:t>8.2.2. dokumentą, patvirtinantį, kad asmuo, kuris pasirašė pasiūlymą (jei jis ne tiekėjo vadovas), turėjo teisę (jam buvo suteikti įgaliojimai) pasirašyti pasiūlymą.</w:t>
      </w:r>
    </w:p>
    <w:p>
      <w:pPr>
        <w:pStyle w:val="Normal"/>
        <w:tabs>
          <w:tab w:val="clear" w:pos="1296"/>
          <w:tab w:val="left" w:pos="709" w:leader="none"/>
          <w:tab w:val="left" w:pos="993" w:leader="none"/>
        </w:tabs>
        <w:spacing w:lineRule="auto" w:line="240" w:before="0" w:after="0"/>
        <w:ind w:hanging="709" w:left="993"/>
        <w:contextualSpacing/>
        <w:jc w:val="both"/>
        <w:rPr>
          <w:rFonts w:ascii="Arial" w:hAnsi="Arial" w:eastAsia="Calibri"/>
          <w:b w:val="false"/>
          <w:sz w:val="22"/>
          <w:szCs w:val="22"/>
        </w:rPr>
      </w:pPr>
      <w:r>
        <w:rPr>
          <w:rFonts w:eastAsia="Calibri"/>
          <w:b w:val="false"/>
          <w:sz w:val="22"/>
          <w:szCs w:val="22"/>
        </w:rPr>
      </w:r>
    </w:p>
    <w:p>
      <w:pPr>
        <w:pStyle w:val="Normal"/>
        <w:tabs>
          <w:tab w:val="clear" w:pos="1296"/>
          <w:tab w:val="left" w:pos="709" w:leader="none"/>
          <w:tab w:val="left" w:pos="993" w:leader="none"/>
        </w:tabs>
        <w:spacing w:lineRule="auto" w:line="240" w:before="0" w:after="0"/>
        <w:ind w:hanging="709" w:left="993"/>
        <w:contextualSpacing/>
        <w:jc w:val="both"/>
        <w:rPr>
          <w:rFonts w:ascii="Arial" w:hAnsi="Arial" w:eastAsia="Calibri"/>
          <w:b w:val="false"/>
          <w:sz w:val="22"/>
          <w:szCs w:val="22"/>
        </w:rPr>
      </w:pPr>
      <w:r>
        <w:rPr>
          <w:rFonts w:eastAsia="Calibri"/>
          <w:b w:val="false"/>
          <w:sz w:val="22"/>
          <w:szCs w:val="22"/>
        </w:rPr>
      </w:r>
    </w:p>
    <w:p>
      <w:pPr>
        <w:pStyle w:val="Normal"/>
        <w:keepNext w:val="true"/>
        <w:numPr>
          <w:ilvl w:val="0"/>
          <w:numId w:val="0"/>
        </w:numPr>
        <w:tabs>
          <w:tab w:val="clear" w:pos="1296"/>
          <w:tab w:val="left" w:pos="426" w:leader="none"/>
        </w:tabs>
        <w:spacing w:lineRule="auto" w:line="240" w:before="0" w:after="0"/>
        <w:ind w:hanging="0" w:left="0"/>
        <w:jc w:val="center"/>
        <w:outlineLvl w:val="0"/>
        <w:rPr>
          <w:rFonts w:ascii="Arial" w:hAnsi="Arial"/>
          <w:sz w:val="22"/>
          <w:szCs w:val="22"/>
        </w:rPr>
      </w:pPr>
      <w:bookmarkStart w:id="54" w:name="__RefHeading___Toc1078_4110476004"/>
      <w:bookmarkStart w:id="55" w:name="_Toc484495975"/>
      <w:bookmarkStart w:id="56" w:name="_Toc484496034"/>
      <w:bookmarkStart w:id="57" w:name="_Toc64291760"/>
      <w:bookmarkEnd w:id="54"/>
      <w:r>
        <w:rPr>
          <w:rFonts w:eastAsia="Calibri"/>
          <w:bCs/>
          <w:sz w:val="22"/>
          <w:szCs w:val="22"/>
        </w:rPr>
        <w:t>9. PASIŪLYMŲ VERTINIMAS IR PALYGINIMAS</w:t>
      </w:r>
      <w:bookmarkEnd w:id="55"/>
      <w:bookmarkEnd w:id="56"/>
      <w:bookmarkEnd w:id="57"/>
    </w:p>
    <w:p>
      <w:pPr>
        <w:pStyle w:val="Normal"/>
        <w:keepNext w:val="true"/>
        <w:numPr>
          <w:ilvl w:val="0"/>
          <w:numId w:val="0"/>
        </w:numPr>
        <w:tabs>
          <w:tab w:val="clear" w:pos="1296"/>
          <w:tab w:val="left" w:pos="426" w:leader="none"/>
        </w:tabs>
        <w:spacing w:lineRule="auto" w:line="240" w:before="0" w:after="0"/>
        <w:ind w:hanging="0" w:left="0"/>
        <w:jc w:val="center"/>
        <w:outlineLvl w:val="0"/>
        <w:rPr>
          <w:rFonts w:ascii="Arial" w:hAnsi="Arial" w:eastAsia="Calibri"/>
          <w:bCs/>
          <w:sz w:val="22"/>
          <w:szCs w:val="22"/>
        </w:rPr>
      </w:pPr>
      <w:r>
        <w:rPr>
          <w:rFonts w:eastAsia="Calibri"/>
          <w:bCs/>
          <w:sz w:val="22"/>
          <w:szCs w:val="22"/>
        </w:rPr>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sz w:val="22"/>
          <w:szCs w:val="22"/>
        </w:rPr>
      </w:pPr>
      <w:r>
        <w:rPr>
          <w:rFonts w:eastAsia="Calibri"/>
          <w:b w:val="false"/>
          <w:sz w:val="22"/>
          <w:szCs w:val="22"/>
        </w:rPr>
        <w:t xml:space="preserve">9.1. Derybų metu su tiekėjais bus deramasi dėl Pirminio pasiūlymo kainos, kuri negalės būti didinama, o tik mažinama, t. y. Galutiniuose pasiūlymuose nurodyta kaina negali būti didesnė nei suderėta ir užfiksuota derybų metu ar nurodyta Pirminiame pasiūlyme (jeigu derybų metu kaina nebuvo užfiksuota). Derybos bus atliekamos raštu, su tiekėju derantis CVP IS susirašinėjimo priemonėmis.  </w:t>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sz w:val="22"/>
          <w:szCs w:val="22"/>
        </w:rPr>
      </w:pPr>
      <w:r>
        <w:rPr>
          <w:rFonts w:eastAsia="Calibri"/>
          <w:b w:val="false"/>
          <w:sz w:val="22"/>
          <w:szCs w:val="22"/>
        </w:rPr>
        <w:t>9.2. Į derybas bus kviečiami tiekėjai, kurie pateiks Pirminius pasiūlymus, atitinkančius visus Pirkimo dokumentuose nurodytus reikalavimus. Perkančioji organizacija Pirkimą atliks netaikydama Derybų pakopų.</w:t>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sz w:val="22"/>
          <w:szCs w:val="22"/>
        </w:rPr>
      </w:pPr>
      <w:r>
        <w:rPr>
          <w:rFonts w:eastAsia="Calibri"/>
          <w:b w:val="false"/>
          <w:sz w:val="22"/>
          <w:szCs w:val="22"/>
        </w:rPr>
        <w:t>9.3. Įvertinus Galutinius pasiūlymus, nustatomas Pirkimo laimėtojas.</w:t>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sz w:val="22"/>
          <w:szCs w:val="22"/>
        </w:rPr>
      </w:pPr>
      <w:r>
        <w:rPr>
          <w:rFonts w:eastAsia="Calibri"/>
          <w:b w:val="false"/>
          <w:sz w:val="22"/>
          <w:szCs w:val="22"/>
        </w:rPr>
        <w:t xml:space="preserve">9.4. Perkančiosios organizacijos neatmesti pasiūlymai vertinami ir palyginami kainos, kuri turi būti apskaičiuota ir nurodyta taip, kaip reikalaujama Pasiūlymo formos (Specialiųjų sąlygų 2 priedas) grafoje „Pasiūlymo kaina be PVM“, kriterijumi. </w:t>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sz w:val="22"/>
          <w:szCs w:val="22"/>
        </w:rPr>
      </w:pPr>
      <w:r>
        <w:rPr>
          <w:rFonts w:eastAsia="Calibri"/>
          <w:b w:val="false"/>
          <w:sz w:val="22"/>
          <w:szCs w:val="22"/>
        </w:rPr>
        <w:t>9.5. Kitos tiekėjų pasiūlymų nagrinėjimo, vertinimo ir palyginimo bei derybų sąlygos pateikiamos Bendrųjų sąlygų 11-14 skyriuose.</w:t>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b w:val="false"/>
          <w:sz w:val="22"/>
          <w:szCs w:val="22"/>
        </w:rPr>
      </w:pPr>
      <w:r>
        <w:rPr>
          <w:rFonts w:eastAsia="Calibri"/>
          <w:b w:val="false"/>
          <w:sz w:val="22"/>
          <w:szCs w:val="22"/>
        </w:rPr>
      </w:r>
    </w:p>
    <w:p>
      <w:pPr>
        <w:pStyle w:val="Normal"/>
        <w:tabs>
          <w:tab w:val="clear" w:pos="1296"/>
          <w:tab w:val="left" w:pos="0" w:leader="none"/>
          <w:tab w:val="left" w:pos="567" w:leader="none"/>
          <w:tab w:val="left" w:pos="851" w:leader="none"/>
          <w:tab w:val="left" w:pos="2977" w:leader="none"/>
        </w:tabs>
        <w:spacing w:lineRule="auto" w:line="240" w:before="0" w:after="0"/>
        <w:jc w:val="both"/>
        <w:rPr>
          <w:rFonts w:ascii="Arial" w:hAnsi="Arial" w:eastAsia="Calibri"/>
          <w:b w:val="false"/>
          <w:sz w:val="22"/>
          <w:szCs w:val="22"/>
        </w:rPr>
      </w:pPr>
      <w:r>
        <w:rPr>
          <w:rFonts w:eastAsia="Calibri"/>
          <w:b w:val="false"/>
          <w:sz w:val="22"/>
          <w:szCs w:val="22"/>
        </w:rPr>
      </w:r>
    </w:p>
    <w:p>
      <w:pPr>
        <w:pStyle w:val="Normal"/>
        <w:keepNext w:val="true"/>
        <w:numPr>
          <w:ilvl w:val="0"/>
          <w:numId w:val="0"/>
        </w:numPr>
        <w:tabs>
          <w:tab w:val="clear" w:pos="1296"/>
          <w:tab w:val="left" w:pos="426" w:leader="none"/>
        </w:tabs>
        <w:spacing w:lineRule="auto" w:line="240" w:before="0" w:after="0"/>
        <w:ind w:hanging="0" w:left="0"/>
        <w:jc w:val="center"/>
        <w:outlineLvl w:val="0"/>
        <w:rPr>
          <w:rFonts w:ascii="Arial" w:hAnsi="Arial"/>
          <w:sz w:val="22"/>
          <w:szCs w:val="22"/>
        </w:rPr>
      </w:pPr>
      <w:bookmarkStart w:id="58" w:name="__RefHeading___Toc1080_4110476004"/>
      <w:bookmarkStart w:id="59" w:name="_Toc64291761"/>
      <w:bookmarkEnd w:id="58"/>
      <w:r>
        <w:rPr>
          <w:rFonts w:eastAsia="Calibri"/>
          <w:bCs/>
          <w:sz w:val="22"/>
          <w:szCs w:val="22"/>
        </w:rPr>
        <w:t>10. SUTARTIES NUOSTATOS</w:t>
      </w:r>
      <w:bookmarkEnd w:id="59"/>
    </w:p>
    <w:p>
      <w:pPr>
        <w:pStyle w:val="Normal"/>
        <w:spacing w:lineRule="auto" w:line="240" w:before="0" w:after="0"/>
        <w:rPr>
          <w:rFonts w:ascii="Arial" w:hAnsi="Arial" w:eastAsia="Calibri"/>
          <w:b w:val="false"/>
          <w:sz w:val="22"/>
          <w:szCs w:val="22"/>
        </w:rPr>
      </w:pPr>
      <w:r>
        <w:rPr>
          <w:rFonts w:eastAsia="Calibri"/>
          <w:b w:val="false"/>
          <w:sz w:val="22"/>
          <w:szCs w:val="22"/>
        </w:rPr>
      </w:r>
    </w:p>
    <w:p>
      <w:pPr>
        <w:pStyle w:val="Normal"/>
        <w:jc w:val="both"/>
        <w:rPr>
          <w:rFonts w:ascii="Arial" w:hAnsi="Arial"/>
          <w:sz w:val="22"/>
          <w:szCs w:val="22"/>
        </w:rPr>
      </w:pPr>
      <w:bookmarkStart w:id="60" w:name="_Toc329439533"/>
      <w:bookmarkStart w:id="61" w:name="_Toc335201960"/>
      <w:bookmarkEnd w:id="60"/>
      <w:bookmarkEnd w:id="61"/>
      <w:r>
        <w:rPr>
          <w:b w:val="false"/>
          <w:bCs/>
          <w:sz w:val="22"/>
          <w:szCs w:val="22"/>
        </w:rPr>
        <w:t>10.1. Pirkimo sutarties sąlygos nurodytos Specialiųjų sąlygų 3 priede „Paslaugų pirkimo-pardavimo sutarties specialiosios sąlygos“, kuris yra neatskiriama Pirkimo dokument</w:t>
      </w:r>
      <w:bookmarkStart w:id="62" w:name="_Toc64291381"/>
      <w:r>
        <w:rPr>
          <w:b w:val="false"/>
          <w:bCs/>
          <w:sz w:val="22"/>
          <w:szCs w:val="22"/>
        </w:rPr>
        <w:t>ų d</w:t>
      </w:r>
      <w:bookmarkEnd w:id="62"/>
      <w:r>
        <w:rPr>
          <w:b w:val="false"/>
          <w:bCs/>
          <w:sz w:val="22"/>
          <w:szCs w:val="22"/>
        </w:rPr>
        <w:t>alis.</w:t>
      </w:r>
    </w:p>
    <w:p>
      <w:pPr>
        <w:pStyle w:val="Normal"/>
        <w:jc w:val="both"/>
        <w:rPr>
          <w:rFonts w:ascii="Arial" w:hAnsi="Arial"/>
          <w:sz w:val="22"/>
          <w:szCs w:val="22"/>
        </w:rPr>
      </w:pPr>
      <w:r>
        <w:rPr>
          <w:sz w:val="22"/>
          <w:szCs w:val="22"/>
        </w:rPr>
      </w:r>
    </w:p>
    <w:p>
      <w:pPr>
        <w:pStyle w:val="Normal"/>
        <w:keepNext w:val="true"/>
        <w:widowControl/>
        <w:numPr>
          <w:ilvl w:val="0"/>
          <w:numId w:val="0"/>
        </w:numPr>
        <w:tabs>
          <w:tab w:val="clear" w:pos="1296"/>
          <w:tab w:val="left" w:pos="426" w:leader="none"/>
        </w:tabs>
        <w:suppressAutoHyphens w:val="true"/>
        <w:bidi w:val="0"/>
        <w:spacing w:lineRule="auto" w:line="240" w:before="0" w:after="0"/>
        <w:ind w:hanging="0" w:left="0" w:right="0"/>
        <w:jc w:val="center"/>
        <w:outlineLvl w:val="0"/>
        <w:rPr>
          <w:rFonts w:ascii="Arial" w:hAnsi="Arial"/>
          <w:sz w:val="22"/>
          <w:szCs w:val="22"/>
        </w:rPr>
      </w:pPr>
      <w:bookmarkStart w:id="63" w:name="__RefHeading___Toc1082_4110476004"/>
      <w:bookmarkEnd w:id="63"/>
      <w:r>
        <w:rPr>
          <w:rFonts w:eastAsia="Calibri" w:cs="Arial"/>
          <w:b/>
          <w:bCs/>
          <w:kern w:val="0"/>
          <w:sz w:val="22"/>
          <w:szCs w:val="22"/>
          <w14:ligatures w14:val="none"/>
        </w:rPr>
        <w:t xml:space="preserve">11. </w:t>
      </w:r>
      <w:bookmarkStart w:id="64" w:name="_Toc210740736"/>
      <w:bookmarkStart w:id="65" w:name="_Toc126333932"/>
      <w:r>
        <w:rPr>
          <w:rFonts w:eastAsia="Calibri" w:cs="Arial"/>
          <w:b/>
          <w:bCs/>
          <w:kern w:val="0"/>
          <w:sz w:val="22"/>
          <w:szCs w:val="22"/>
          <w14:ligatures w14:val="none"/>
        </w:rPr>
        <w:t>REIKALAVIMAI, SUSIJĘ SU NACIONALINIU SAUGUMU</w:t>
      </w:r>
      <w:bookmarkEnd w:id="64"/>
      <w:bookmarkEnd w:id="65"/>
      <w:r>
        <w:rPr>
          <w:rFonts w:eastAsia="Calibri" w:cs="Arial"/>
          <w:b/>
          <w:bCs/>
          <w:kern w:val="0"/>
          <w:sz w:val="22"/>
          <w:szCs w:val="22"/>
          <w14:ligatures w14:val="none"/>
        </w:rPr>
        <w:t xml:space="preserve"> </w:t>
      </w:r>
    </w:p>
    <w:p>
      <w:pPr>
        <w:pStyle w:val="Normal"/>
        <w:spacing w:lineRule="auto" w:line="240" w:before="0" w:after="0"/>
        <w:ind w:firstLine="567"/>
        <w:jc w:val="both"/>
        <w:rPr>
          <w:rFonts w:ascii="Arial" w:hAnsi="Arial" w:eastAsia="Calibri" w:cs="Calibri"/>
          <w:color w:val="000000"/>
          <w:kern w:val="0"/>
          <w:sz w:val="22"/>
          <w:szCs w:val="22"/>
          <w:lang w:eastAsia="lt-LT"/>
          <w14:ligatures w14:val="none"/>
        </w:rPr>
      </w:pPr>
      <w:r>
        <w:rPr>
          <w:rFonts w:eastAsia="Calibri" w:cs="Calibri"/>
          <w:color w:val="000000"/>
          <w:kern w:val="0"/>
          <w:sz w:val="22"/>
          <w:szCs w:val="22"/>
          <w:lang w:eastAsia="lt-LT"/>
          <w14:ligatures w14:val="none"/>
        </w:rPr>
      </w:r>
    </w:p>
    <w:p>
      <w:pPr>
        <w:pStyle w:val="Normal"/>
        <w:spacing w:lineRule="auto" w:line="240" w:before="0" w:after="0"/>
        <w:jc w:val="both"/>
        <w:rPr>
          <w:rFonts w:ascii="Arial" w:hAnsi="Arial"/>
          <w:b w:val="false"/>
          <w:bCs w:val="false"/>
          <w:sz w:val="22"/>
          <w:szCs w:val="22"/>
        </w:rPr>
      </w:pPr>
      <w:r>
        <w:rPr>
          <w:rFonts w:eastAsia="Calibri" w:cs="Arial"/>
          <w:b w:val="false"/>
          <w:bCs w:val="false"/>
          <w:color w:val="000000"/>
          <w:kern w:val="0"/>
          <w:sz w:val="22"/>
          <w:szCs w:val="22"/>
          <w:lang w:eastAsia="lt-LT"/>
          <w14:ligatures w14:val="none"/>
        </w:rPr>
        <w:t>11.1. Pirkimui taikomos Reglamento nu</w:t>
      </w:r>
      <w:r>
        <w:rPr>
          <w:rFonts w:eastAsia="Calibri" w:cs="Arial"/>
          <w:b w:val="false"/>
          <w:bCs w:val="false"/>
          <w:color w:val="000000"/>
          <w:kern w:val="0"/>
          <w:sz w:val="22"/>
          <w:szCs w:val="22"/>
          <w:shd w:fill="auto" w:val="clear"/>
          <w:lang w:eastAsia="lt-LT"/>
          <w14:ligatures w14:val="none"/>
        </w:rPr>
        <w:t xml:space="preserve">ostatos. Kartu su pasiūlymu tiekėjas turi pateikti užpildytą deklaraciją dėl (ne)atitikties Reglamento nuostatoms, kuri pateikta specialiųjų pirkimo sąlygų </w:t>
      </w:r>
      <w:r>
        <w:rPr>
          <w:rFonts w:eastAsia="Calibri" w:cs="Arial"/>
          <w:b w:val="false"/>
          <w:bCs w:val="false"/>
          <w:color w:val="000000"/>
          <w:kern w:val="0"/>
          <w:sz w:val="22"/>
          <w:szCs w:val="22"/>
          <w:shd w:fill="auto" w:val="clear"/>
          <w:lang w:val="lt-LT" w:eastAsia="lt-LT"/>
          <w14:ligatures w14:val="none"/>
        </w:rPr>
        <w:t>6</w:t>
      </w:r>
      <w:r>
        <w:rPr>
          <w:rFonts w:eastAsia="Calibri" w:cs="Arial"/>
          <w:b w:val="false"/>
          <w:bCs w:val="false"/>
          <w:color w:val="000000"/>
          <w:kern w:val="0"/>
          <w:sz w:val="22"/>
          <w:szCs w:val="22"/>
          <w:shd w:fill="auto" w:val="clear"/>
          <w:lang w:eastAsia="lt-LT"/>
          <w14:ligatures w14:val="none"/>
        </w:rPr>
        <w:t xml:space="preserve"> priede. Kilus abejonių dėl tiekėjo (ne)atitikties Reglamento nuostatoms, perkančioji organizacija iš galimo laimėtojo prašys pateikti dokumentus, įrodančius deklaracijoje pateiktų duomenų teisingumą.</w:t>
      </w:r>
    </w:p>
    <w:p>
      <w:pPr>
        <w:pStyle w:val="Normal"/>
        <w:spacing w:lineRule="auto" w:line="240" w:before="0" w:after="0"/>
        <w:jc w:val="both"/>
        <w:rPr>
          <w:rFonts w:ascii="Arial" w:hAnsi="Arial"/>
          <w:b w:val="false"/>
          <w:bCs w:val="false"/>
          <w:sz w:val="22"/>
          <w:szCs w:val="22"/>
          <w:highlight w:val="none"/>
          <w:shd w:fill="auto" w:val="clear"/>
        </w:rPr>
      </w:pPr>
      <w:r>
        <w:rPr>
          <w:rFonts w:eastAsia="Calibri" w:cs="Arial"/>
          <w:b w:val="false"/>
          <w:bCs w:val="false"/>
          <w:color w:val="000000"/>
          <w:kern w:val="0"/>
          <w:sz w:val="22"/>
          <w:szCs w:val="22"/>
          <w:shd w:fill="auto" w:val="clear"/>
          <w:lang w:eastAsia="lt-LT"/>
          <w14:ligatures w14:val="none"/>
        </w:rPr>
        <w:t xml:space="preserve">11.2.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pPr>
        <w:pStyle w:val="Normal"/>
        <w:spacing w:lineRule="auto" w:line="240" w:before="0" w:after="0"/>
        <w:jc w:val="both"/>
        <w:rPr>
          <w:rFonts w:ascii="Arial" w:hAnsi="Arial"/>
          <w:b w:val="false"/>
          <w:bCs w:val="false"/>
          <w:sz w:val="22"/>
          <w:szCs w:val="22"/>
          <w:highlight w:val="none"/>
          <w:shd w:fill="auto" w:val="clear"/>
        </w:rPr>
      </w:pPr>
      <w:r>
        <w:rPr>
          <w:rFonts w:eastAsia="Calibri" w:cs="Arial"/>
          <w:b w:val="false"/>
          <w:bCs w:val="false"/>
          <w:kern w:val="0"/>
          <w:sz w:val="22"/>
          <w:szCs w:val="22"/>
          <w:shd w:fill="auto" w:val="clear"/>
          <w:lang w:eastAsia="lt-LT"/>
          <w14:ligatures w14:val="none"/>
        </w:rPr>
        <w:t>11.3. Perkančioji organizacija atmes tiekėjo pasiūlymą, jei bus tenkinamos VPĮ 45 straipsnio 2</w:t>
      </w:r>
      <w:r>
        <w:rPr>
          <w:rFonts w:eastAsia="Calibri" w:cs="Arial"/>
          <w:b w:val="false"/>
          <w:bCs w:val="false"/>
          <w:kern w:val="0"/>
          <w:sz w:val="22"/>
          <w:szCs w:val="22"/>
          <w:shd w:fill="auto" w:val="clear"/>
          <w:vertAlign w:val="superscript"/>
          <w:lang w:eastAsia="lt-LT"/>
          <w14:ligatures w14:val="none"/>
        </w:rPr>
        <w:t>1</w:t>
      </w:r>
      <w:r>
        <w:rPr>
          <w:rFonts w:eastAsia="Calibri" w:cs="Arial"/>
          <w:b w:val="false"/>
          <w:bCs w:val="false"/>
          <w:kern w:val="0"/>
          <w:sz w:val="22"/>
          <w:szCs w:val="22"/>
          <w:shd w:fill="auto" w:val="clear"/>
          <w:lang w:eastAsia="lt-LT"/>
          <w14:ligatures w14:val="none"/>
        </w:rPr>
        <w:t xml:space="preserve"> dalies 1,2,3 ir 6 punktuose nurodytos sąlygos. Tiekėjas kartu su pasiūlymu turi pateikti laisvos formos atitikties deklaraciją dėl atitikties VPĮ 45 straipsnio 2</w:t>
      </w:r>
      <w:r>
        <w:rPr>
          <w:rFonts w:eastAsia="Calibri" w:cs="Arial"/>
          <w:b w:val="false"/>
          <w:bCs w:val="false"/>
          <w:kern w:val="0"/>
          <w:sz w:val="22"/>
          <w:szCs w:val="22"/>
          <w:shd w:fill="auto" w:val="clear"/>
          <w:vertAlign w:val="superscript"/>
          <w:lang w:eastAsia="lt-LT"/>
          <w14:ligatures w14:val="none"/>
        </w:rPr>
        <w:t>1</w:t>
      </w:r>
      <w:r>
        <w:rPr>
          <w:rFonts w:eastAsia="Calibri" w:cs="Arial"/>
          <w:b w:val="false"/>
          <w:bCs w:val="false"/>
          <w:kern w:val="0"/>
          <w:sz w:val="22"/>
          <w:szCs w:val="22"/>
          <w:shd w:fill="auto" w:val="clear"/>
          <w:lang w:eastAsia="lt-LT"/>
          <w14:ligatures w14:val="none"/>
        </w:rPr>
        <w:t xml:space="preserve"> dalies 1, 2, 3 ir 6 punktams (specialiųjų pirkimo sąlygų </w:t>
      </w:r>
      <w:r>
        <w:rPr>
          <w:rFonts w:eastAsia="Calibri" w:cs="Arial"/>
          <w:b w:val="false"/>
          <w:bCs w:val="false"/>
          <w:kern w:val="0"/>
          <w:sz w:val="22"/>
          <w:szCs w:val="22"/>
          <w:shd w:fill="auto" w:val="clear"/>
          <w:lang w:val="lt-LT" w:eastAsia="lt-LT"/>
          <w14:ligatures w14:val="none"/>
        </w:rPr>
        <w:t>7</w:t>
      </w:r>
      <w:r>
        <w:rPr>
          <w:rFonts w:eastAsia="Calibri" w:cs="Arial"/>
          <w:b w:val="false"/>
          <w:bCs w:val="false"/>
          <w:kern w:val="0"/>
          <w:sz w:val="22"/>
          <w:szCs w:val="22"/>
          <w:shd w:fill="auto" w:val="clear"/>
          <w:lang w:eastAsia="lt-LT"/>
          <w14:ligatures w14:val="none"/>
        </w:rPr>
        <w:t xml:space="preserve"> priedas).</w:t>
      </w:r>
    </w:p>
    <w:p>
      <w:pPr>
        <w:pStyle w:val="Normal"/>
        <w:spacing w:lineRule="auto" w:line="240" w:before="0" w:after="0"/>
        <w:contextualSpacing/>
        <w:jc w:val="both"/>
        <w:rPr>
          <w:rFonts w:ascii="Arial" w:hAnsi="Arial"/>
          <w:b w:val="false"/>
          <w:bCs w:val="false"/>
          <w:sz w:val="22"/>
          <w:szCs w:val="22"/>
        </w:rPr>
      </w:pPr>
      <w:r>
        <w:rPr>
          <w:rFonts w:eastAsia="Calibri" w:cs="Arial"/>
          <w:b w:val="false"/>
          <w:bCs w:val="false"/>
          <w:sz w:val="22"/>
          <w:szCs w:val="22"/>
          <w:shd w:fill="auto" w:val="clear"/>
        </w:rPr>
        <w:t>11.4. Perkančiajai organizacijai kilus abejonių dėl tie</w:t>
      </w:r>
      <w:r>
        <w:rPr>
          <w:rFonts w:eastAsia="Calibri" w:cs="Arial"/>
          <w:b w:val="false"/>
          <w:bCs w:val="false"/>
          <w:sz w:val="22"/>
          <w:szCs w:val="22"/>
        </w:rPr>
        <w:t xml:space="preserv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rFonts w:eastAsia="Calibri" w:cs="Arial"/>
          <w:b w:val="false"/>
          <w:bCs w:val="false"/>
          <w:color w:val="000000"/>
          <w:sz w:val="22"/>
          <w:szCs w:val="22"/>
        </w:rPr>
        <w:t>ir (ar) paaiškinimus</w:t>
      </w:r>
      <w:r>
        <w:rPr>
          <w:rFonts w:eastAsia="Calibri" w:cs="Arial"/>
          <w:b w:val="false"/>
          <w:bCs w:val="false"/>
          <w:sz w:val="22"/>
          <w:szCs w:val="22"/>
        </w:rPr>
        <w:t xml:space="preserve">. Tokių dokumentų </w:t>
      </w:r>
      <w:r>
        <w:rPr>
          <w:rFonts w:eastAsia="Calibri" w:cs="Arial"/>
          <w:b w:val="false"/>
          <w:bCs w:val="false"/>
          <w:color w:val="000000"/>
          <w:sz w:val="22"/>
          <w:szCs w:val="22"/>
        </w:rPr>
        <w:t>ir (ar) paaiškinimų</w:t>
      </w:r>
      <w:r>
        <w:rPr>
          <w:rFonts w:eastAsia="Calibri" w:cs="Arial"/>
          <w:b w:val="false"/>
          <w:bCs w:val="false"/>
          <w:sz w:val="22"/>
          <w:szCs w:val="22"/>
        </w:rPr>
        <w:t xml:space="preserve"> perkančioji organizacija gali prašyti bet kuriuo pirkimo procedūros metu siekdama užtikrinti tinkamą pirkimo procedūros atlikimą.</w:t>
      </w:r>
    </w:p>
    <w:p>
      <w:pPr>
        <w:pStyle w:val="Normal"/>
        <w:spacing w:lineRule="auto" w:line="240" w:before="0" w:after="0"/>
        <w:contextualSpacing/>
        <w:jc w:val="both"/>
        <w:rPr>
          <w:rFonts w:ascii="Arial" w:hAnsi="Arial"/>
          <w:b w:val="false"/>
          <w:bCs w:val="false"/>
          <w:sz w:val="22"/>
          <w:szCs w:val="22"/>
        </w:rPr>
      </w:pPr>
      <w:r>
        <w:rPr>
          <w:rFonts w:eastAsia="Calibri" w:cs="Arial"/>
          <w:b w:val="false"/>
          <w:bCs w:val="false"/>
          <w:sz w:val="22"/>
          <w:szCs w:val="22"/>
        </w:rPr>
        <w:t xml:space="preserve">11.5. </w:t>
      </w:r>
      <w:r>
        <w:rPr>
          <w:rFonts w:cs="Arial"/>
          <w:b w:val="false"/>
          <w:bCs w:val="false"/>
          <w:sz w:val="22"/>
          <w:szCs w:val="22"/>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pPr>
        <w:pStyle w:val="Normal"/>
        <w:tabs>
          <w:tab w:val="clear" w:pos="1296"/>
          <w:tab w:val="left" w:pos="851" w:leader="none"/>
        </w:tabs>
        <w:spacing w:lineRule="auto" w:line="240" w:before="0" w:after="0"/>
        <w:rPr>
          <w:rFonts w:eastAsia="Calibri"/>
          <w:bCs/>
          <w:szCs w:val="22"/>
        </w:rPr>
      </w:pPr>
      <w:r>
        <w:rPr>
          <w:rFonts w:eastAsia="Calibri"/>
          <w:bCs/>
          <w:szCs w:val="22"/>
        </w:rPr>
      </w:r>
    </w:p>
    <w:p>
      <w:pPr>
        <w:pStyle w:val="Normal"/>
        <w:keepNext w:val="true"/>
        <w:numPr>
          <w:ilvl w:val="0"/>
          <w:numId w:val="0"/>
        </w:numPr>
        <w:tabs>
          <w:tab w:val="clear" w:pos="1296"/>
          <w:tab w:val="left" w:pos="426" w:leader="none"/>
        </w:tabs>
        <w:spacing w:lineRule="auto" w:line="240" w:before="0" w:after="0"/>
        <w:ind w:hanging="0" w:left="0"/>
        <w:jc w:val="center"/>
        <w:outlineLvl w:val="0"/>
        <w:rPr>
          <w:rFonts w:eastAsia="Calibri"/>
          <w:bCs/>
          <w:szCs w:val="22"/>
        </w:rPr>
      </w:pPr>
      <w:bookmarkStart w:id="66" w:name="__RefHeading___Toc1084_4110476004"/>
      <w:bookmarkStart w:id="67" w:name="_Toc64291762"/>
      <w:bookmarkEnd w:id="66"/>
      <w:r>
        <w:rPr>
          <w:rFonts w:eastAsia="Calibri"/>
          <w:bCs/>
          <w:szCs w:val="22"/>
        </w:rPr>
        <w:t>12. PRIEDAI</w:t>
      </w:r>
      <w:bookmarkEnd w:id="67"/>
    </w:p>
    <w:p>
      <w:pPr>
        <w:pStyle w:val="Normal"/>
        <w:spacing w:lineRule="auto" w:line="240" w:before="0" w:after="0"/>
        <w:rPr>
          <w:rFonts w:eastAsia="Calibri"/>
          <w:b w:val="false"/>
          <w:szCs w:val="22"/>
        </w:rPr>
      </w:pPr>
      <w:r>
        <w:rPr>
          <w:rFonts w:eastAsia="Calibri"/>
          <w:b w:val="false"/>
          <w:szCs w:val="22"/>
        </w:rPr>
      </w:r>
    </w:p>
    <w:p>
      <w:pPr>
        <w:pStyle w:val="Normal"/>
        <w:tabs>
          <w:tab w:val="clear" w:pos="1296"/>
          <w:tab w:val="left" w:pos="284" w:leader="none"/>
        </w:tabs>
        <w:spacing w:lineRule="auto" w:line="240" w:before="0" w:after="0"/>
        <w:jc w:val="both"/>
        <w:rPr>
          <w:rFonts w:eastAsia="Calibri"/>
          <w:b w:val="false"/>
          <w:szCs w:val="22"/>
        </w:rPr>
      </w:pPr>
      <w:bookmarkStart w:id="68" w:name="_Toc329439533_Copy_1"/>
      <w:bookmarkStart w:id="69" w:name="_Toc335201960_Copy_1"/>
      <w:bookmarkEnd w:id="68"/>
      <w:bookmarkEnd w:id="69"/>
      <w:r>
        <w:rPr>
          <w:rFonts w:eastAsia="Calibri"/>
          <w:b w:val="false"/>
          <w:szCs w:val="22"/>
        </w:rPr>
        <w:t>1 priedas – „Techninė specifikacija“;</w:t>
      </w:r>
    </w:p>
    <w:p>
      <w:pPr>
        <w:pStyle w:val="Normal"/>
        <w:tabs>
          <w:tab w:val="clear" w:pos="1296"/>
          <w:tab w:val="left" w:pos="567" w:leader="none"/>
        </w:tabs>
        <w:spacing w:lineRule="auto" w:line="240" w:before="0" w:after="0"/>
        <w:jc w:val="both"/>
        <w:rPr>
          <w:rFonts w:eastAsia="Calibri"/>
          <w:b w:val="false"/>
          <w:szCs w:val="22"/>
        </w:rPr>
      </w:pPr>
      <w:r>
        <w:rPr>
          <w:rFonts w:eastAsia="Calibri"/>
          <w:b w:val="false"/>
          <w:szCs w:val="22"/>
        </w:rPr>
        <w:t>2 priedas – „Pasiūlymo forma“;</w:t>
      </w:r>
    </w:p>
    <w:p>
      <w:pPr>
        <w:pStyle w:val="Normal"/>
        <w:spacing w:lineRule="auto" w:line="240" w:before="0" w:after="0"/>
        <w:jc w:val="both"/>
        <w:rPr>
          <w:rFonts w:eastAsia="Calibri"/>
          <w:b w:val="false"/>
          <w:szCs w:val="22"/>
        </w:rPr>
      </w:pPr>
      <w:r>
        <w:rPr>
          <w:rFonts w:eastAsia="Calibri"/>
          <w:b w:val="false"/>
          <w:szCs w:val="22"/>
        </w:rPr>
        <w:t>3 priedas – „Paslaugų pirkimo-pardavimo sutarties specialiosios</w:t>
      </w:r>
      <w:r>
        <w:rPr>
          <w:b w:val="false"/>
          <w:bCs/>
        </w:rPr>
        <w:t xml:space="preserve"> sąlygos“;</w:t>
      </w:r>
    </w:p>
    <w:p>
      <w:pPr>
        <w:pStyle w:val="Normal"/>
        <w:spacing w:lineRule="auto" w:line="240" w:before="0" w:after="0"/>
        <w:jc w:val="both"/>
        <w:rPr>
          <w:rFonts w:eastAsia="Calibri"/>
          <w:b w:val="false"/>
          <w:szCs w:val="22"/>
        </w:rPr>
      </w:pPr>
      <w:bookmarkStart w:id="70" w:name="_Ref274738013"/>
      <w:bookmarkStart w:id="71" w:name="_Ref316455210"/>
      <w:r>
        <w:rPr>
          <w:rFonts w:eastAsia="Calibri"/>
          <w:b w:val="false"/>
          <w:szCs w:val="22"/>
        </w:rPr>
        <w:t>4 priedas – „Skelbiamos apklausos Bendrosios sąlygos</w:t>
      </w:r>
      <w:bookmarkEnd w:id="70"/>
      <w:bookmarkEnd w:id="71"/>
      <w:r>
        <w:rPr>
          <w:rFonts w:eastAsia="Calibri"/>
          <w:b w:val="false"/>
          <w:szCs w:val="22"/>
        </w:rPr>
        <w:t>“;</w:t>
      </w:r>
    </w:p>
    <w:p>
      <w:pPr>
        <w:pStyle w:val="Normal"/>
        <w:spacing w:before="0" w:after="0"/>
        <w:rPr>
          <w:b w:val="false"/>
          <w:bCs/>
        </w:rPr>
      </w:pPr>
      <w:r>
        <w:rPr>
          <w:b w:val="false"/>
          <w:bCs/>
        </w:rPr>
        <w:t>5 priedas – „</w:t>
      </w:r>
      <w:bookmarkStart w:id="72" w:name="_Hlk160449158"/>
      <w:r>
        <w:rPr>
          <w:b w:val="false"/>
          <w:bCs/>
        </w:rPr>
        <w:t>Įsipareigojimas neatskleisti konfidencialios informacijos</w:t>
      </w:r>
      <w:bookmarkEnd w:id="72"/>
      <w:r>
        <w:rPr>
          <w:b w:val="false"/>
          <w:bCs/>
        </w:rPr>
        <w:t>“;</w:t>
      </w:r>
    </w:p>
    <w:p>
      <w:pPr>
        <w:pStyle w:val="Normal"/>
        <w:spacing w:lineRule="auto" w:line="240" w:before="0" w:after="0"/>
        <w:rPr>
          <w:b w:val="false"/>
          <w:bCs w:val="false"/>
        </w:rPr>
      </w:pPr>
      <w:r>
        <w:rPr>
          <w:b w:val="false"/>
          <w:bCs w:val="false"/>
        </w:rPr>
        <w:t>6 priedas – Tiekėjo deklaracija dėl atitikties Reglamento nuostatoms juridiniam ar fiziniam asmeniui;</w:t>
      </w:r>
    </w:p>
    <w:p>
      <w:pPr>
        <w:pStyle w:val="Normal"/>
        <w:spacing w:lineRule="auto" w:line="240" w:before="0" w:after="0"/>
        <w:rPr>
          <w:b w:val="false"/>
          <w:bCs w:val="false"/>
        </w:rPr>
      </w:pPr>
      <w:r>
        <w:rPr>
          <w:b w:val="false"/>
          <w:bCs w:val="false"/>
        </w:rPr>
        <w:t>7 priedas – VPĮ 45 str. 2</w:t>
      </w:r>
      <w:r>
        <w:rPr>
          <w:b w:val="false"/>
          <w:bCs w:val="false"/>
          <w:vertAlign w:val="superscript"/>
        </w:rPr>
        <w:t>1</w:t>
      </w:r>
      <w:r>
        <w:rPr>
          <w:b w:val="false"/>
          <w:bCs w:val="false"/>
        </w:rPr>
        <w:t xml:space="preserve"> reikalavimų atitikties deklaracijos pavyzdinė forma.</w:t>
      </w:r>
    </w:p>
    <w:sectPr>
      <w:footerReference w:type="even" r:id="rId3"/>
      <w:footerReference w:type="default" r:id="rId4"/>
      <w:footerReference w:type="first" r:id="rId5"/>
      <w:footnotePr>
        <w:numFmt w:val="decimal"/>
      </w:footnotePr>
      <w:type w:val="nextPage"/>
      <w:pgSz w:w="11906" w:h="16838"/>
      <w:pgMar w:left="1701" w:right="567" w:gutter="0" w:header="0" w:top="1134" w:footer="716" w:bottom="1134"/>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ptos">
    <w:charset w:val="00"/>
    <w:family w:val="roman"/>
    <w:pitch w:val="variable"/>
  </w:font>
  <w:font w:name="Aptos Display">
    <w:charset w:val="00"/>
    <w:family w:val="swiss"/>
    <w:pitch w:val="variable"/>
  </w:font>
  <w:font w:name="TimesNewRomanPS-BoldMT">
    <w:charset w:val="00"/>
    <w:family w:val="roman"/>
    <w:pitch w:val="variable"/>
  </w:font>
  <w:font w:name="Liberation Sans">
    <w:altName w:val="Arial"/>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r>
  </w:p>
  <w:sdt>
    <w:sdtPr>
      <w:docPartObj>
        <w:docPartGallery w:val="Page Numbers (Bottom of Page)"/>
        <w:docPartUnique w:val="true"/>
      </w:docPartObj>
    </w:sdtPr>
    <w:sdtContent>
      <w:p>
        <w:pPr>
          <w:pStyle w:val="Footer"/>
          <w:jc w:val="center"/>
          <w:rPr>
            <w:sz w:val="20"/>
          </w:rPr>
        </w:pPr>
        <w:r>
          <w:rPr/>
          <w:fldChar w:fldCharType="begin"/>
        </w:r>
        <w:r>
          <w:rPr/>
          <w:instrText xml:space="preserve"> PAGE </w:instrText>
        </w:r>
        <w:r>
          <w:rPr/>
          <w:fldChar w:fldCharType="separate"/>
        </w:r>
        <w:r>
          <w:rPr/>
          <w:t>5</w:t>
        </w:r>
        <w:r>
          <w:rPr/>
          <w:fldChar w:fldCharType="end"/>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r>
        <w:separator/>
      </w:r>
    </w:p>
  </w:footnote>
  <w:footnote w:id="1" w:type="continuationSeparator">
    <w:p>
      <w:r>
        <w:continuationSeparator/>
      </w:r>
    </w:p>
  </w:footnote>
  <w:footnote w:id="2">
    <w:p>
      <w:pPr>
        <w:pStyle w:val="FootnoteText"/>
        <w:rPr>
          <w:b w:val="false"/>
          <w:bCs/>
          <w:sz w:val="16"/>
          <w:szCs w:val="16"/>
        </w:rPr>
      </w:pPr>
      <w:r>
        <w:rPr>
          <w:rStyle w:val="Inaosramenys"/>
        </w:rPr>
        <w:footnoteRef/>
      </w:r>
      <w:r>
        <w:rPr>
          <w:b w:val="false"/>
          <w:bCs/>
          <w:sz w:val="16"/>
          <w:szCs w:val="16"/>
        </w:rPr>
        <w:t xml:space="preserve"> </w:t>
      </w:r>
      <w:r>
        <w:rPr>
          <w:b w:val="false"/>
          <w:bCs/>
          <w:sz w:val="16"/>
          <w:szCs w:val="16"/>
        </w:rPr>
        <w:t>Išskyrus Viešųjų pirkimų įstatymo 46 str. 2</w:t>
      </w:r>
      <w:r>
        <w:rPr>
          <w:b w:val="false"/>
          <w:bCs/>
          <w:sz w:val="16"/>
          <w:szCs w:val="16"/>
          <w:vertAlign w:val="superscript"/>
        </w:rPr>
        <w:t>1</w:t>
      </w:r>
      <w:r>
        <w:rPr>
          <w:b w:val="false"/>
          <w:bCs/>
          <w:sz w:val="16"/>
          <w:szCs w:val="16"/>
        </w:rPr>
        <w:t xml:space="preserve"> d. nustatytą pašalinimo pagrindą. Iš Lietuvoje registruotų tiekėjų nereikalaujama pagrindžiančių dokumentų. Reikalaujama pasiūlymo formoje deklaruoti, kad tiekėjui netaikomas šis pašalinimo pagrindas.</w:t>
      </w:r>
    </w:p>
  </w:footnote>
</w:footnote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4188" w:hanging="360"/>
      </w:pPr>
      <w:rPr>
        <w:b/>
      </w:rPr>
    </w:lvl>
    <w:lvl w:ilvl="1">
      <w:start w:val="1"/>
      <w:isLgl/>
      <w:numFmt w:val="decimal"/>
      <w:lvlText w:val="%1.%2."/>
      <w:lvlJc w:val="left"/>
      <w:pPr>
        <w:tabs>
          <w:tab w:val="num" w:pos="0"/>
        </w:tabs>
        <w:ind w:left="1080" w:hanging="720"/>
      </w:pPr>
      <w:rPr>
        <w:sz w:val="24"/>
        <w:i w:val="false"/>
        <w:b w:val="false"/>
        <w:szCs w:val="24"/>
        <w:iCs w:val="false"/>
        <w:bCs w:val="false"/>
        <w:rFonts w:ascii="Aptos" w:hAnsi="Aptos" w:cs="Arial" w:asciiTheme="minorHAnsi" w:hAnsiTheme="minorHAnsi"/>
        <w:color w:val="auto"/>
      </w:rPr>
    </w:lvl>
    <w:lvl w:ilvl="2">
      <w:start w:val="1"/>
      <w:isLgl/>
      <w:numFmt w:val="decimal"/>
      <w:lvlText w:val="%1.%2.%3."/>
      <w:lvlJc w:val="left"/>
      <w:pPr>
        <w:tabs>
          <w:tab w:val="num" w:pos="0"/>
        </w:tabs>
        <w:ind w:left="1080" w:hanging="720"/>
      </w:pPr>
      <w:rPr>
        <w:color w:val="auto"/>
      </w:rPr>
    </w:lvl>
    <w:lvl w:ilvl="3">
      <w:start w:val="1"/>
      <w:isLgl/>
      <w:numFmt w:val="decimal"/>
      <w:lvlText w:val="%1.%2.%3.%4."/>
      <w:lvlJc w:val="left"/>
      <w:pPr>
        <w:tabs>
          <w:tab w:val="num" w:pos="0"/>
        </w:tabs>
        <w:ind w:left="1440" w:hanging="1080"/>
      </w:pPr>
      <w:rPr/>
    </w:lvl>
    <w:lvl w:ilvl="4">
      <w:start w:val="1"/>
      <w:isLgl/>
      <w:numFmt w:val="decimal"/>
      <w:lvlText w:val="%1.%2.%3.%4.%5."/>
      <w:lvlJc w:val="left"/>
      <w:pPr>
        <w:tabs>
          <w:tab w:val="num" w:pos="0"/>
        </w:tabs>
        <w:ind w:left="1440" w:hanging="1080"/>
      </w:pPr>
      <w:rPr/>
    </w:lvl>
    <w:lvl w:ilvl="5">
      <w:start w:val="1"/>
      <w:isLgl/>
      <w:numFmt w:val="decimal"/>
      <w:lvlText w:val="%1.%2.%3.%4.%5.%6."/>
      <w:lvlJc w:val="left"/>
      <w:pPr>
        <w:tabs>
          <w:tab w:val="num" w:pos="0"/>
        </w:tabs>
        <w:ind w:left="1800" w:hanging="1440"/>
      </w:pPr>
      <w:rPr/>
    </w:lvl>
    <w:lvl w:ilvl="6">
      <w:start w:val="1"/>
      <w:isLgl/>
      <w:numFmt w:val="decimal"/>
      <w:lvlText w:val="%1.%2.%3.%4.%5.%6.%7."/>
      <w:lvlJc w:val="left"/>
      <w:pPr>
        <w:tabs>
          <w:tab w:val="num" w:pos="0"/>
        </w:tabs>
        <w:ind w:left="1800" w:hanging="1440"/>
      </w:pPr>
      <w:rPr/>
    </w:lvl>
    <w:lvl w:ilvl="7">
      <w:start w:val="1"/>
      <w:isLgl/>
      <w:numFmt w:val="decimal"/>
      <w:lvlText w:val="%1.%2.%3.%4.%5.%6.%7.%8."/>
      <w:lvlJc w:val="left"/>
      <w:pPr>
        <w:tabs>
          <w:tab w:val="num" w:pos="0"/>
        </w:tabs>
        <w:ind w:left="2160" w:hanging="1800"/>
      </w:pPr>
      <w:rPr/>
    </w:lvl>
    <w:lvl w:ilvl="8">
      <w:start w:val="1"/>
      <w:isLgl/>
      <w:numFmt w:val="decimal"/>
      <w:lvlText w:val="%1.%2.%3.%4.%5.%6.%7.%8.%9."/>
      <w:lvlJc w:val="left"/>
      <w:pPr>
        <w:tabs>
          <w:tab w:val="num" w:pos="0"/>
        </w:tabs>
        <w:ind w:left="2160" w:hanging="180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1296"/>
  <w:autoHyphenation w:val="true"/>
  <w:hyphenationZone w:val="0"/>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lt-L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Aptos" w:cs="" w:asciiTheme="minorHAnsi" w:cstheme="minorBidi" w:eastAsiaTheme="minorHAnsi" w:hAnsiTheme="minorHAnsi"/>
        <w:kern w:val="2"/>
        <w:sz w:val="22"/>
        <w:szCs w:val="22"/>
        <w:lang w:val="lt-LT" w:eastAsia="en-US"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8166d"/>
    <w:pPr>
      <w:widowControl/>
      <w:suppressAutoHyphens w:val="true"/>
      <w:bidi w:val="0"/>
      <w:spacing w:lineRule="auto" w:line="259" w:before="0" w:after="160"/>
      <w:jc w:val="left"/>
    </w:pPr>
    <w:rPr>
      <w:rFonts w:ascii="Arial" w:hAnsi="Arial" w:eastAsia="Aptos" w:cs="Arial"/>
      <w:b/>
      <w:color w:val="auto"/>
      <w:kern w:val="0"/>
      <w:sz w:val="22"/>
      <w:szCs w:val="20"/>
      <w:lang w:val="lt-LT" w:eastAsia="en-US" w:bidi="ar-SA"/>
      <w14:ligatures w14:val="none"/>
    </w:rPr>
  </w:style>
  <w:style w:type="paragraph" w:styleId="Heading1">
    <w:name w:val="heading 1"/>
    <w:basedOn w:val="Normal"/>
    <w:next w:val="Normal"/>
    <w:link w:val="Antrat1Diagrama"/>
    <w:uiPriority w:val="9"/>
    <w:qFormat/>
    <w:rsid w:val="0088166d"/>
    <w:pPr>
      <w:keepNext w:val="true"/>
      <w:keepLines/>
      <w:spacing w:before="360" w:after="80"/>
      <w:outlineLvl w:val="0"/>
    </w:pPr>
    <w:rPr>
      <w:rFonts w:ascii="Aptos Display" w:hAnsi="Aptos Display" w:eastAsia="" w:cs="" w:asciiTheme="majorHAnsi" w:cstheme="majorBidi" w:eastAsiaTheme="majorEastAsia" w:hAnsiTheme="majorHAnsi"/>
      <w:color w:themeColor="accent1" w:themeShade="bf" w:val="0F4761"/>
      <w:sz w:val="40"/>
      <w:szCs w:val="40"/>
    </w:rPr>
  </w:style>
  <w:style w:type="paragraph" w:styleId="Heading2">
    <w:name w:val="heading 2"/>
    <w:basedOn w:val="Normal"/>
    <w:next w:val="Normal"/>
    <w:link w:val="Antrat2Diagrama"/>
    <w:uiPriority w:val="9"/>
    <w:semiHidden/>
    <w:unhideWhenUsed/>
    <w:qFormat/>
    <w:rsid w:val="0088166d"/>
    <w:pPr>
      <w:keepNext w:val="true"/>
      <w:keepLines/>
      <w:spacing w:before="160" w:after="80"/>
      <w:outlineLvl w:val="1"/>
    </w:pPr>
    <w:rPr>
      <w:rFonts w:ascii="Aptos Display" w:hAnsi="Aptos Display" w:eastAsia="" w:cs="" w:asciiTheme="majorHAnsi" w:cstheme="majorBidi" w:eastAsiaTheme="majorEastAsia" w:hAnsiTheme="majorHAnsi"/>
      <w:color w:themeColor="accent1" w:themeShade="bf" w:val="0F4761"/>
      <w:sz w:val="32"/>
      <w:szCs w:val="32"/>
    </w:rPr>
  </w:style>
  <w:style w:type="paragraph" w:styleId="Heading3">
    <w:name w:val="heading 3"/>
    <w:basedOn w:val="Normal"/>
    <w:next w:val="Normal"/>
    <w:link w:val="Antrat3Diagrama"/>
    <w:uiPriority w:val="9"/>
    <w:semiHidden/>
    <w:unhideWhenUsed/>
    <w:qFormat/>
    <w:rsid w:val="0088166d"/>
    <w:pPr>
      <w:keepNext w:val="true"/>
      <w:keepLines/>
      <w:spacing w:before="160" w:after="80"/>
      <w:outlineLvl w:val="2"/>
    </w:pPr>
    <w:rPr>
      <w:rFonts w:eastAsia="" w:cs="" w:cstheme="majorBidi" w:eastAsiaTheme="majorEastAsia"/>
      <w:color w:themeColor="accent1" w:themeShade="bf" w:val="0F4761"/>
      <w:sz w:val="28"/>
      <w:szCs w:val="28"/>
    </w:rPr>
  </w:style>
  <w:style w:type="paragraph" w:styleId="Heading4">
    <w:name w:val="heading 4"/>
    <w:basedOn w:val="Normal"/>
    <w:next w:val="Normal"/>
    <w:link w:val="Antrat4Diagrama"/>
    <w:uiPriority w:val="9"/>
    <w:semiHidden/>
    <w:unhideWhenUsed/>
    <w:qFormat/>
    <w:rsid w:val="0088166d"/>
    <w:pPr>
      <w:keepNext w:val="true"/>
      <w:keepLines/>
      <w:spacing w:before="80" w:after="40"/>
      <w:outlineLvl w:val="3"/>
    </w:pPr>
    <w:rPr>
      <w:rFonts w:eastAsia="" w:cs="" w:cstheme="majorBidi" w:eastAsiaTheme="majorEastAsia"/>
      <w:i/>
      <w:iCs/>
      <w:color w:themeColor="accent1" w:themeShade="bf" w:val="0F4761"/>
    </w:rPr>
  </w:style>
  <w:style w:type="paragraph" w:styleId="Heading5">
    <w:name w:val="heading 5"/>
    <w:basedOn w:val="Normal"/>
    <w:next w:val="Normal"/>
    <w:link w:val="Antrat5Diagrama"/>
    <w:uiPriority w:val="9"/>
    <w:semiHidden/>
    <w:unhideWhenUsed/>
    <w:qFormat/>
    <w:rsid w:val="0088166d"/>
    <w:pPr>
      <w:keepNext w:val="true"/>
      <w:keepLines/>
      <w:spacing w:before="80" w:after="40"/>
      <w:outlineLvl w:val="4"/>
    </w:pPr>
    <w:rPr>
      <w:rFonts w:eastAsia="" w:cs="" w:cstheme="majorBidi" w:eastAsiaTheme="majorEastAsia"/>
      <w:color w:themeColor="accent1" w:themeShade="bf" w:val="0F4761"/>
    </w:rPr>
  </w:style>
  <w:style w:type="paragraph" w:styleId="Heading6">
    <w:name w:val="heading 6"/>
    <w:basedOn w:val="Normal"/>
    <w:next w:val="Normal"/>
    <w:link w:val="Antrat6Diagrama"/>
    <w:uiPriority w:val="9"/>
    <w:semiHidden/>
    <w:unhideWhenUsed/>
    <w:qFormat/>
    <w:rsid w:val="0088166d"/>
    <w:pPr>
      <w:keepNext w:val="true"/>
      <w:keepLines/>
      <w:spacing w:before="40" w:after="0"/>
      <w:outlineLvl w:val="5"/>
    </w:pPr>
    <w:rPr>
      <w:rFonts w:eastAsia="" w:cs="" w:cstheme="majorBidi" w:eastAsiaTheme="majorEastAsia"/>
      <w:i/>
      <w:iCs/>
      <w:color w:themeColor="text1" w:themeTint="a6" w:val="595959"/>
    </w:rPr>
  </w:style>
  <w:style w:type="paragraph" w:styleId="Heading7">
    <w:name w:val="heading 7"/>
    <w:basedOn w:val="Normal"/>
    <w:next w:val="Normal"/>
    <w:link w:val="Antrat7Diagrama"/>
    <w:uiPriority w:val="9"/>
    <w:semiHidden/>
    <w:unhideWhenUsed/>
    <w:qFormat/>
    <w:rsid w:val="0088166d"/>
    <w:pPr>
      <w:keepNext w:val="true"/>
      <w:keepLines/>
      <w:spacing w:before="40" w:after="0"/>
      <w:outlineLvl w:val="6"/>
    </w:pPr>
    <w:rPr>
      <w:rFonts w:eastAsia="" w:cs="" w:cstheme="majorBidi" w:eastAsiaTheme="majorEastAsia"/>
      <w:color w:themeColor="text1" w:themeTint="a6" w:val="595959"/>
    </w:rPr>
  </w:style>
  <w:style w:type="paragraph" w:styleId="Heading8">
    <w:name w:val="heading 8"/>
    <w:basedOn w:val="Normal"/>
    <w:next w:val="Normal"/>
    <w:link w:val="Antrat8Diagrama"/>
    <w:uiPriority w:val="9"/>
    <w:semiHidden/>
    <w:unhideWhenUsed/>
    <w:qFormat/>
    <w:rsid w:val="0088166d"/>
    <w:pPr>
      <w:keepNext w:val="true"/>
      <w:keepLines/>
      <w:spacing w:before="0" w:after="0"/>
      <w:outlineLvl w:val="7"/>
    </w:pPr>
    <w:rPr>
      <w:rFonts w:eastAsia="" w:cs="" w:cstheme="majorBidi" w:eastAsiaTheme="majorEastAsia"/>
      <w:i/>
      <w:iCs/>
      <w:color w:themeColor="text1" w:themeTint="d8" w:val="272727"/>
    </w:rPr>
  </w:style>
  <w:style w:type="paragraph" w:styleId="Heading9">
    <w:name w:val="heading 9"/>
    <w:basedOn w:val="Normal"/>
    <w:next w:val="Normal"/>
    <w:link w:val="Antrat9Diagrama"/>
    <w:uiPriority w:val="9"/>
    <w:semiHidden/>
    <w:unhideWhenUsed/>
    <w:qFormat/>
    <w:rsid w:val="0088166d"/>
    <w:pPr>
      <w:keepNext w:val="true"/>
      <w:keepLines/>
      <w:spacing w:before="0" w:after="0"/>
      <w:outlineLvl w:val="8"/>
    </w:pPr>
    <w:rPr>
      <w:rFonts w:eastAsia="" w:cs="" w:cstheme="majorBidi" w:eastAsiaTheme="majorEastAsia"/>
      <w:color w:themeColor="text1" w:themeTint="d8" w:val="272727"/>
    </w:rPr>
  </w:style>
  <w:style w:type="character" w:styleId="DefaultParagraphFont" w:default="1">
    <w:name w:val="Default Paragraph Font"/>
    <w:uiPriority w:val="1"/>
    <w:semiHidden/>
    <w:unhideWhenUsed/>
    <w:qFormat/>
    <w:rPr/>
  </w:style>
  <w:style w:type="character" w:styleId="Antrat1Diagrama" w:customStyle="1">
    <w:name w:val="Antraštė 1 Diagrama"/>
    <w:basedOn w:val="DefaultParagraphFont"/>
    <w:uiPriority w:val="9"/>
    <w:qFormat/>
    <w:rsid w:val="0088166d"/>
    <w:rPr>
      <w:rFonts w:ascii="Aptos Display" w:hAnsi="Aptos Display" w:eastAsia="" w:cs="" w:asciiTheme="majorHAnsi" w:cstheme="majorBidi" w:eastAsiaTheme="majorEastAsia" w:hAnsiTheme="majorHAnsi"/>
      <w:color w:themeColor="accent1" w:themeShade="bf" w:val="0F4761"/>
      <w:sz w:val="40"/>
      <w:szCs w:val="40"/>
    </w:rPr>
  </w:style>
  <w:style w:type="character" w:styleId="Antrat2Diagrama" w:customStyle="1">
    <w:name w:val="Antraštė 2 Diagrama"/>
    <w:basedOn w:val="DefaultParagraphFont"/>
    <w:uiPriority w:val="9"/>
    <w:semiHidden/>
    <w:qFormat/>
    <w:rsid w:val="0088166d"/>
    <w:rPr>
      <w:rFonts w:ascii="Aptos Display" w:hAnsi="Aptos Display" w:eastAsia="" w:cs="" w:asciiTheme="majorHAnsi" w:cstheme="majorBidi" w:eastAsiaTheme="majorEastAsia" w:hAnsiTheme="majorHAnsi"/>
      <w:color w:themeColor="accent1" w:themeShade="bf" w:val="0F4761"/>
      <w:sz w:val="32"/>
      <w:szCs w:val="32"/>
    </w:rPr>
  </w:style>
  <w:style w:type="character" w:styleId="Antrat3Diagrama" w:customStyle="1">
    <w:name w:val="Antraštė 3 Diagrama"/>
    <w:basedOn w:val="DefaultParagraphFont"/>
    <w:uiPriority w:val="9"/>
    <w:semiHidden/>
    <w:qFormat/>
    <w:rsid w:val="0088166d"/>
    <w:rPr>
      <w:rFonts w:eastAsia="" w:cs="" w:cstheme="majorBidi" w:eastAsiaTheme="majorEastAsia"/>
      <w:color w:themeColor="accent1" w:themeShade="bf" w:val="0F4761"/>
      <w:sz w:val="28"/>
      <w:szCs w:val="28"/>
    </w:rPr>
  </w:style>
  <w:style w:type="character" w:styleId="Antrat4Diagrama" w:customStyle="1">
    <w:name w:val="Antraštė 4 Diagrama"/>
    <w:basedOn w:val="DefaultParagraphFont"/>
    <w:uiPriority w:val="9"/>
    <w:semiHidden/>
    <w:qFormat/>
    <w:rsid w:val="0088166d"/>
    <w:rPr>
      <w:rFonts w:eastAsia="" w:cs="" w:cstheme="majorBidi" w:eastAsiaTheme="majorEastAsia"/>
      <w:i/>
      <w:iCs/>
      <w:color w:themeColor="accent1" w:themeShade="bf" w:val="0F4761"/>
    </w:rPr>
  </w:style>
  <w:style w:type="character" w:styleId="Antrat5Diagrama" w:customStyle="1">
    <w:name w:val="Antraštė 5 Diagrama"/>
    <w:basedOn w:val="DefaultParagraphFont"/>
    <w:uiPriority w:val="9"/>
    <w:semiHidden/>
    <w:qFormat/>
    <w:rsid w:val="0088166d"/>
    <w:rPr>
      <w:rFonts w:eastAsia="" w:cs="" w:cstheme="majorBidi" w:eastAsiaTheme="majorEastAsia"/>
      <w:color w:themeColor="accent1" w:themeShade="bf" w:val="0F4761"/>
    </w:rPr>
  </w:style>
  <w:style w:type="character" w:styleId="Antrat6Diagrama" w:customStyle="1">
    <w:name w:val="Antraštė 6 Diagrama"/>
    <w:basedOn w:val="DefaultParagraphFont"/>
    <w:uiPriority w:val="9"/>
    <w:semiHidden/>
    <w:qFormat/>
    <w:rsid w:val="0088166d"/>
    <w:rPr>
      <w:rFonts w:eastAsia="" w:cs="" w:cstheme="majorBidi" w:eastAsiaTheme="majorEastAsia"/>
      <w:i/>
      <w:iCs/>
      <w:color w:themeColor="text1" w:themeTint="a6" w:val="595959"/>
    </w:rPr>
  </w:style>
  <w:style w:type="character" w:styleId="Antrat7Diagrama" w:customStyle="1">
    <w:name w:val="Antraštė 7 Diagrama"/>
    <w:basedOn w:val="DefaultParagraphFont"/>
    <w:uiPriority w:val="9"/>
    <w:semiHidden/>
    <w:qFormat/>
    <w:rsid w:val="0088166d"/>
    <w:rPr>
      <w:rFonts w:eastAsia="" w:cs="" w:cstheme="majorBidi" w:eastAsiaTheme="majorEastAsia"/>
      <w:color w:themeColor="text1" w:themeTint="a6" w:val="595959"/>
    </w:rPr>
  </w:style>
  <w:style w:type="character" w:styleId="Antrat8Diagrama" w:customStyle="1">
    <w:name w:val="Antraštė 8 Diagrama"/>
    <w:basedOn w:val="DefaultParagraphFont"/>
    <w:uiPriority w:val="9"/>
    <w:semiHidden/>
    <w:qFormat/>
    <w:rsid w:val="0088166d"/>
    <w:rPr>
      <w:rFonts w:eastAsia="" w:cs="" w:cstheme="majorBidi" w:eastAsiaTheme="majorEastAsia"/>
      <w:i/>
      <w:iCs/>
      <w:color w:themeColor="text1" w:themeTint="d8" w:val="272727"/>
    </w:rPr>
  </w:style>
  <w:style w:type="character" w:styleId="Antrat9Diagrama" w:customStyle="1">
    <w:name w:val="Antraštė 9 Diagrama"/>
    <w:basedOn w:val="DefaultParagraphFont"/>
    <w:uiPriority w:val="9"/>
    <w:semiHidden/>
    <w:qFormat/>
    <w:rsid w:val="0088166d"/>
    <w:rPr>
      <w:rFonts w:eastAsia="" w:cs="" w:cstheme="majorBidi" w:eastAsiaTheme="majorEastAsia"/>
      <w:color w:themeColor="text1" w:themeTint="d8" w:val="272727"/>
    </w:rPr>
  </w:style>
  <w:style w:type="character" w:styleId="PavadinimasDiagrama" w:customStyle="1">
    <w:name w:val="Pavadinimas Diagrama"/>
    <w:basedOn w:val="DefaultParagraphFont"/>
    <w:uiPriority w:val="10"/>
    <w:qFormat/>
    <w:rsid w:val="0088166d"/>
    <w:rPr>
      <w:rFonts w:ascii="Aptos Display" w:hAnsi="Aptos Display" w:eastAsia="" w:cs="" w:asciiTheme="majorHAnsi" w:cstheme="majorBidi" w:eastAsiaTheme="majorEastAsia" w:hAnsiTheme="majorHAnsi"/>
      <w:spacing w:val="-10"/>
      <w:kern w:val="2"/>
      <w:sz w:val="56"/>
      <w:szCs w:val="56"/>
    </w:rPr>
  </w:style>
  <w:style w:type="character" w:styleId="PaantratDiagrama" w:customStyle="1">
    <w:name w:val="Paantraštė Diagrama"/>
    <w:basedOn w:val="DefaultParagraphFont"/>
    <w:uiPriority w:val="11"/>
    <w:qFormat/>
    <w:rsid w:val="0088166d"/>
    <w:rPr>
      <w:rFonts w:eastAsia="" w:cs="" w:cstheme="majorBidi" w:eastAsiaTheme="majorEastAsia"/>
      <w:color w:themeColor="text1" w:themeTint="a6" w:val="595959"/>
      <w:spacing w:val="15"/>
      <w:sz w:val="28"/>
      <w:szCs w:val="28"/>
    </w:rPr>
  </w:style>
  <w:style w:type="character" w:styleId="CitataDiagrama" w:customStyle="1">
    <w:name w:val="Citata Diagrama"/>
    <w:basedOn w:val="DefaultParagraphFont"/>
    <w:link w:val="Quote"/>
    <w:uiPriority w:val="29"/>
    <w:qFormat/>
    <w:rsid w:val="0088166d"/>
    <w:rPr>
      <w:i/>
      <w:iCs/>
      <w:color w:themeColor="text1" w:themeTint="bf" w:val="404040"/>
    </w:rPr>
  </w:style>
  <w:style w:type="character" w:styleId="IntenseEmphasis">
    <w:name w:val="Intense Emphasis"/>
    <w:basedOn w:val="DefaultParagraphFont"/>
    <w:uiPriority w:val="21"/>
    <w:qFormat/>
    <w:rsid w:val="0088166d"/>
    <w:rPr>
      <w:i/>
      <w:iCs/>
      <w:color w:themeColor="accent1" w:themeShade="bf" w:val="0F4761"/>
    </w:rPr>
  </w:style>
  <w:style w:type="character" w:styleId="IskirtacitataDiagrama" w:customStyle="1">
    <w:name w:val="Išskirta citata Diagrama"/>
    <w:basedOn w:val="DefaultParagraphFont"/>
    <w:link w:val="IntenseQuote"/>
    <w:uiPriority w:val="30"/>
    <w:qFormat/>
    <w:rsid w:val="0088166d"/>
    <w:rPr>
      <w:i/>
      <w:iCs/>
      <w:color w:themeColor="accent1" w:themeShade="bf" w:val="0F4761"/>
    </w:rPr>
  </w:style>
  <w:style w:type="character" w:styleId="IntenseReference">
    <w:name w:val="Intense Reference"/>
    <w:basedOn w:val="DefaultParagraphFont"/>
    <w:uiPriority w:val="32"/>
    <w:qFormat/>
    <w:rsid w:val="0088166d"/>
    <w:rPr>
      <w:b/>
      <w:bCs/>
      <w:smallCaps/>
      <w:color w:themeColor="accent1" w:themeShade="bf" w:val="0F4761"/>
      <w:spacing w:val="5"/>
    </w:rPr>
  </w:style>
  <w:style w:type="character" w:styleId="PoratDiagrama" w:customStyle="1">
    <w:name w:val="Poraštė Diagrama"/>
    <w:basedOn w:val="DefaultParagraphFont"/>
    <w:uiPriority w:val="99"/>
    <w:semiHidden/>
    <w:qFormat/>
    <w:rsid w:val="0088166d"/>
    <w:rPr>
      <w:rFonts w:ascii="Arial" w:hAnsi="Arial" w:cs="Arial"/>
      <w:b/>
      <w:kern w:val="0"/>
      <w:szCs w:val="20"/>
      <w14:ligatures w14:val="none"/>
    </w:rPr>
  </w:style>
  <w:style w:type="character" w:styleId="PuslapioinaostekstasDiagrama" w:customStyle="1">
    <w:name w:val="Puslapio išnašos tekstas Diagrama"/>
    <w:basedOn w:val="DefaultParagraphFont"/>
    <w:uiPriority w:val="99"/>
    <w:qFormat/>
    <w:rsid w:val="0088166d"/>
    <w:rPr>
      <w:rFonts w:ascii="Arial" w:hAnsi="Arial" w:cs="Arial"/>
      <w:b/>
      <w:kern w:val="0"/>
      <w:sz w:val="20"/>
      <w:szCs w:val="20"/>
      <w14:ligatures w14:val="none"/>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FootnoteCharacters111">
    <w:name w:val="Footnote Characters111"/>
    <w:basedOn w:val="DefaultParagraphFont"/>
    <w:qFormat/>
    <w:rsid w:val="0088166d"/>
    <w:rPr>
      <w:vertAlign w:val="superscript"/>
    </w:rPr>
  </w:style>
  <w:style w:type="character" w:styleId="InternetLink">
    <w:name w:val="Internet Link"/>
    <w:basedOn w:val="DefaultParagraphFont"/>
    <w:uiPriority w:val="99"/>
    <w:unhideWhenUsed/>
    <w:qFormat/>
    <w:rsid w:val="0088166d"/>
    <w:rPr>
      <w:color w:themeColor="hyperlink" w:val="467886"/>
      <w:u w:val="single"/>
    </w:rPr>
  </w:style>
  <w:style w:type="character" w:styleId="fontstyle01" w:customStyle="1">
    <w:name w:val="fontstyle01"/>
    <w:basedOn w:val="DefaultParagraphFont"/>
    <w:qFormat/>
    <w:rsid w:val="0088166d"/>
    <w:rPr>
      <w:rFonts w:ascii="TimesNewRomanPS-BoldMT" w:hAnsi="TimesNewRomanPS-BoldMT"/>
      <w:b/>
      <w:bCs/>
      <w:i w:val="false"/>
      <w:iCs w:val="false"/>
      <w:color w:val="000000"/>
      <w:sz w:val="22"/>
      <w:szCs w:val="22"/>
    </w:rPr>
  </w:style>
  <w:style w:type="character" w:styleId="InternetLink1">
    <w:name w:val="Internet Link1"/>
    <w:qFormat/>
    <w:rPr>
      <w:color w:val="000080"/>
      <w:u w:val="single"/>
    </w:rPr>
  </w:style>
  <w:style w:type="character" w:styleId="Rodyklssaitas">
    <w:name w:val="Rodyklės saitas"/>
    <w:qFormat/>
    <w:rPr/>
  </w:style>
  <w:style w:type="character" w:styleId="Inaosramenys">
    <w:name w:val="Išnašos rašmenys"/>
    <w:qForma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Galinsinaosramenys">
    <w:name w:val="Galinės išnašos rašmenys"/>
    <w:qFormat/>
    <w:rPr/>
  </w:style>
  <w:style w:type="character" w:styleId="InternetLink2">
    <w:name w:val="Internet Link2"/>
    <w:qFormat/>
    <w:rPr>
      <w:color w:val="000080"/>
      <w:u w:val="single"/>
    </w:rPr>
  </w:style>
  <w:style w:type="character" w:styleId="InternetLink3">
    <w:name w:val="Internet Link3"/>
    <w:qFormat/>
    <w:rPr>
      <w:color w:val="000080"/>
      <w:u w:val="single"/>
    </w:rPr>
  </w:style>
  <w:style w:type="character" w:styleId="Hyperlink">
    <w:name w:val="Hyperlink"/>
    <w:rPr>
      <w:color w:val="000080"/>
      <w:u w:val="single"/>
    </w:rPr>
  </w:style>
  <w:style w:type="paragraph" w:styleId="Antrat">
    <w:name w:val="Antraštė"/>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Rodykl">
    <w:name w:val="Rodyklė"/>
    <w:basedOn w:val="Normal"/>
    <w:qFormat/>
    <w:pPr>
      <w:suppressLineNumbers/>
    </w:pPr>
    <w:rPr>
      <w:rFonts w:cs="Lucida Sans"/>
    </w:rPr>
  </w:style>
  <w:style w:type="paragraph" w:styleId="Title">
    <w:name w:val="Title"/>
    <w:basedOn w:val="Normal"/>
    <w:next w:val="Normal"/>
    <w:link w:val="PavadinimasDiagrama"/>
    <w:uiPriority w:val="10"/>
    <w:qFormat/>
    <w:rsid w:val="0088166d"/>
    <w:pPr>
      <w:spacing w:lineRule="auto" w:line="240" w:before="0" w:after="80"/>
      <w:contextualSpacing/>
    </w:pPr>
    <w:rPr>
      <w:rFonts w:ascii="Aptos Display" w:hAnsi="Aptos Display" w:eastAsia="" w:cs="" w:asciiTheme="majorHAnsi" w:cstheme="majorBidi" w:eastAsiaTheme="majorEastAsia" w:hAnsiTheme="majorHAnsi"/>
      <w:spacing w:val="-10"/>
      <w:kern w:val="2"/>
      <w:sz w:val="56"/>
      <w:szCs w:val="56"/>
    </w:rPr>
  </w:style>
  <w:style w:type="paragraph" w:styleId="Subtitle">
    <w:name w:val="Subtitle"/>
    <w:basedOn w:val="Normal"/>
    <w:next w:val="Normal"/>
    <w:link w:val="PaantratDiagrama"/>
    <w:uiPriority w:val="11"/>
    <w:qFormat/>
    <w:rsid w:val="0088166d"/>
    <w:pPr/>
    <w:rPr>
      <w:rFonts w:eastAsia="" w:cs="" w:cstheme="majorBidi" w:eastAsiaTheme="majorEastAsia"/>
      <w:color w:themeColor="text1" w:themeTint="a6" w:val="595959"/>
      <w:spacing w:val="15"/>
      <w:sz w:val="28"/>
      <w:szCs w:val="28"/>
    </w:rPr>
  </w:style>
  <w:style w:type="paragraph" w:styleId="Quote">
    <w:name w:val="Quote"/>
    <w:basedOn w:val="Normal"/>
    <w:next w:val="Normal"/>
    <w:link w:val="CitataDiagrama"/>
    <w:uiPriority w:val="29"/>
    <w:qFormat/>
    <w:rsid w:val="0088166d"/>
    <w:pPr>
      <w:spacing w:before="160" w:after="160"/>
      <w:jc w:val="center"/>
    </w:pPr>
    <w:rPr>
      <w:i/>
      <w:iCs/>
      <w:color w:themeColor="text1" w:themeTint="bf" w:val="404040"/>
    </w:rPr>
  </w:style>
  <w:style w:type="paragraph" w:styleId="ListParagraph">
    <w:name w:val="List Paragraph"/>
    <w:basedOn w:val="Normal"/>
    <w:uiPriority w:val="34"/>
    <w:qFormat/>
    <w:rsid w:val="0088166d"/>
    <w:pPr>
      <w:spacing w:before="0" w:after="160"/>
      <w:ind w:left="720"/>
      <w:contextualSpacing/>
    </w:pPr>
    <w:rPr/>
  </w:style>
  <w:style w:type="paragraph" w:styleId="IntenseQuote">
    <w:name w:val="Intense Quote"/>
    <w:basedOn w:val="Normal"/>
    <w:next w:val="Normal"/>
    <w:link w:val="IskirtacitataDiagrama"/>
    <w:uiPriority w:val="30"/>
    <w:qFormat/>
    <w:rsid w:val="0088166d"/>
    <w:pPr>
      <w:pBdr>
        <w:top w:val="single" w:sz="4" w:space="10" w:color="0F4761" w:themeColor="accent1" w:themeShade="bf"/>
        <w:bottom w:val="single" w:sz="4" w:space="10" w:color="0F4761" w:themeColor="accent1" w:themeShade="bf"/>
      </w:pBdr>
      <w:spacing w:before="360" w:after="360"/>
      <w:ind w:left="864" w:right="864"/>
      <w:jc w:val="center"/>
    </w:pPr>
    <w:rPr>
      <w:i/>
      <w:iCs/>
      <w:color w:themeColor="accent1" w:themeShade="bf" w:val="0F4761"/>
    </w:rPr>
  </w:style>
  <w:style w:type="paragraph" w:styleId="HeaderandFooter">
    <w:name w:val="Header and Footer"/>
    <w:basedOn w:val="Normal"/>
    <w:qFormat/>
    <w:pPr/>
    <w:rPr/>
  </w:style>
  <w:style w:type="paragraph" w:styleId="Footer">
    <w:name w:val="footer"/>
    <w:basedOn w:val="Normal"/>
    <w:link w:val="PoratDiagrama"/>
    <w:uiPriority w:val="99"/>
    <w:semiHidden/>
    <w:unhideWhenUsed/>
    <w:rsid w:val="0088166d"/>
    <w:pPr>
      <w:tabs>
        <w:tab w:val="clear" w:pos="1296"/>
        <w:tab w:val="center" w:pos="4819" w:leader="none"/>
        <w:tab w:val="right" w:pos="9638" w:leader="none"/>
      </w:tabs>
      <w:spacing w:lineRule="auto" w:line="240" w:before="0" w:after="0"/>
    </w:pPr>
    <w:rPr/>
  </w:style>
  <w:style w:type="paragraph" w:styleId="FootnoteText">
    <w:name w:val="footnote text"/>
    <w:basedOn w:val="Normal"/>
    <w:link w:val="PuslapioinaostekstasDiagrama"/>
    <w:uiPriority w:val="99"/>
    <w:unhideWhenUsed/>
    <w:rsid w:val="0088166d"/>
    <w:pPr>
      <w:spacing w:lineRule="auto" w:line="240" w:before="0" w:after="0"/>
    </w:pPr>
    <w:rPr>
      <w:sz w:val="20"/>
    </w:rPr>
  </w:style>
  <w:style w:type="paragraph" w:styleId="TOC1">
    <w:name w:val="toc 1"/>
    <w:basedOn w:val="Normal"/>
    <w:next w:val="Normal"/>
    <w:autoRedefine/>
    <w:uiPriority w:val="39"/>
    <w:unhideWhenUsed/>
    <w:rsid w:val="0088166d"/>
    <w:pPr>
      <w:tabs>
        <w:tab w:val="clear" w:pos="1296"/>
        <w:tab w:val="left" w:pos="440" w:leader="none"/>
        <w:tab w:val="right" w:pos="9628" w:leader="dot"/>
      </w:tabs>
      <w:spacing w:before="0" w:after="100"/>
    </w:pPr>
    <w:rPr>
      <w:rFonts w:eastAsia="Calibri"/>
      <w:b w:val="false"/>
      <w:bCs/>
    </w:rPr>
  </w:style>
  <w:style w:type="numbering" w:styleId="NoList" w:default="1">
    <w:name w:val="No List"/>
    <w:uiPriority w:val="99"/>
    <w:semiHidden/>
    <w:unhideWhenUsed/>
    <w:qFormat/>
  </w:style>
  <w:style w:type="table" w:default="1" w:styleId="prastojilente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footer" Target="footer1.xml"/><Relationship Id="rId4" Type="http://schemas.openxmlformats.org/officeDocument/2006/relationships/footer" Target="footer2.xml"/><Relationship Id="rId5" Type="http://schemas.openxmlformats.org/officeDocument/2006/relationships/footer" Target="footer3.xml"/><Relationship Id="rId6" Type="http://schemas.openxmlformats.org/officeDocument/2006/relationships/footnotes" Target="footnotes.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ema">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72512-32D3-4F45-887F-A6E93948A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Application>LibreOffice/24.8.0.3$Windows_X86_64 LibreOffice_project/0bdf1299c94fe897b119f97f3c613e9dca6be583</Application>
  <AppVersion>15.0000</AppVersion>
  <Pages>5</Pages>
  <Words>1253</Words>
  <Characters>9149</Characters>
  <CharactersWithSpaces>10352</CharactersWithSpaces>
  <Paragraphs>85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2024-02-12T14:37:00Z</dcterms:created>
  <dc:creator>Mindaugas Naučius | VMU</dc:creator>
  <dc:description/>
  <dc:language>lt-LT</dc:language>
  <cp:lastModifiedBy/>
  <dcterms:modified xsi:type="dcterms:W3CDTF">2026-01-27T08:39:44Z</dcterms:modified>
  <cp:revision>48</cp:revision>
  <dc:subject/>
  <dc:title/>
</cp:coreProperties>
</file>

<file path=docProps/custom.xml><?xml version="1.0" encoding="utf-8"?>
<Properties xmlns="http://schemas.openxmlformats.org/officeDocument/2006/custom-properties" xmlns:vt="http://schemas.openxmlformats.org/officeDocument/2006/docPropsVTypes"/>
</file>